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D8" w:rsidRDefault="00F633D8" w:rsidP="00F633D8">
      <w:pPr>
        <w:spacing w:line="240" w:lineRule="auto"/>
      </w:pPr>
      <w:r>
        <w:t>Jacek Batóg</w:t>
      </w:r>
    </w:p>
    <w:p w:rsidR="00F633D8" w:rsidRDefault="00F633D8" w:rsidP="00F633D8">
      <w:pPr>
        <w:spacing w:line="240" w:lineRule="auto"/>
      </w:pPr>
      <w:r>
        <w:t>University of Szczecin</w:t>
      </w:r>
    </w:p>
    <w:p w:rsidR="00F633D8" w:rsidRPr="00F633D8" w:rsidRDefault="00F633D8" w:rsidP="00F633D8"/>
    <w:p w:rsidR="00F633D8" w:rsidRPr="007F6E52" w:rsidRDefault="00DB6C65" w:rsidP="00F633D8">
      <w:pPr>
        <w:jc w:val="center"/>
        <w:rPr>
          <w:b/>
          <w:lang w:val="en-GB"/>
        </w:rPr>
      </w:pPr>
      <w:r>
        <w:rPr>
          <w:b/>
          <w:lang w:val="en-GB"/>
        </w:rPr>
        <w:t xml:space="preserve">Labour </w:t>
      </w:r>
      <w:r w:rsidR="007224CF">
        <w:rPr>
          <w:b/>
          <w:lang w:val="en-GB"/>
        </w:rPr>
        <w:t>Contribution and Productivity</w:t>
      </w:r>
      <w:r>
        <w:rPr>
          <w:b/>
          <w:lang w:val="en-GB"/>
        </w:rPr>
        <w:t xml:space="preserve"> in the </w:t>
      </w:r>
      <w:r w:rsidRPr="007F6E52">
        <w:rPr>
          <w:b/>
          <w:lang w:val="en-GB"/>
        </w:rPr>
        <w:t xml:space="preserve">European </w:t>
      </w:r>
      <w:r>
        <w:rPr>
          <w:b/>
          <w:lang w:val="en-GB"/>
        </w:rPr>
        <w:t xml:space="preserve">Union: </w:t>
      </w:r>
      <w:r w:rsidR="007224CF">
        <w:rPr>
          <w:b/>
          <w:lang w:val="en-GB"/>
        </w:rPr>
        <w:t>Cluster</w:t>
      </w:r>
      <w:r>
        <w:rPr>
          <w:b/>
          <w:lang w:val="en-GB"/>
        </w:rPr>
        <w:t xml:space="preserve"> Analysis</w:t>
      </w:r>
    </w:p>
    <w:p w:rsidR="00F633D8" w:rsidRDefault="00F633D8" w:rsidP="00F633D8"/>
    <w:p w:rsidR="00FB21F1" w:rsidRPr="00FB21F1" w:rsidRDefault="00FB21F1" w:rsidP="00FB21F1">
      <w:pPr>
        <w:spacing w:line="240" w:lineRule="auto"/>
        <w:rPr>
          <w:rFonts w:cs="Times New Roman"/>
          <w:color w:val="000000" w:themeColor="text1"/>
          <w:sz w:val="20"/>
          <w:szCs w:val="20"/>
          <w:lang w:val="en-GB"/>
        </w:rPr>
      </w:pPr>
      <w:r w:rsidRPr="00FB21F1">
        <w:rPr>
          <w:b/>
          <w:sz w:val="20"/>
          <w:szCs w:val="20"/>
          <w:lang w:val="en-GB"/>
        </w:rPr>
        <w:t>Abstract: t</w:t>
      </w:r>
      <w:r w:rsidRPr="00FB21F1">
        <w:rPr>
          <w:rFonts w:cs="Times New Roman"/>
          <w:color w:val="000000" w:themeColor="text1"/>
          <w:sz w:val="20"/>
          <w:szCs w:val="20"/>
          <w:lang w:val="en-GB"/>
        </w:rPr>
        <w:t xml:space="preserve">he paper </w:t>
      </w:r>
      <w:r w:rsidR="005F61E0" w:rsidRPr="00FB21F1">
        <w:rPr>
          <w:rFonts w:cs="Times New Roman"/>
          <w:color w:val="000000" w:themeColor="text1"/>
          <w:sz w:val="20"/>
          <w:szCs w:val="20"/>
          <w:lang w:val="en-GB"/>
        </w:rPr>
        <w:t>dea</w:t>
      </w:r>
      <w:r w:rsidR="005F61E0">
        <w:rPr>
          <w:rFonts w:cs="Times New Roman"/>
          <w:color w:val="000000" w:themeColor="text1"/>
          <w:sz w:val="20"/>
          <w:szCs w:val="20"/>
          <w:lang w:val="en-GB"/>
        </w:rPr>
        <w:t>lt</w:t>
      </w:r>
      <w:r w:rsidRPr="00FB21F1">
        <w:rPr>
          <w:rFonts w:cs="Times New Roman"/>
          <w:color w:val="000000" w:themeColor="text1"/>
          <w:sz w:val="20"/>
          <w:szCs w:val="20"/>
          <w:lang w:val="en-GB"/>
        </w:rPr>
        <w:t xml:space="preserve"> with the analysis of dynamics and differentiation of basic </w:t>
      </w:r>
      <w:r w:rsidR="00385380">
        <w:rPr>
          <w:rFonts w:cs="Times New Roman"/>
          <w:color w:val="000000" w:themeColor="text1"/>
          <w:sz w:val="20"/>
          <w:szCs w:val="20"/>
          <w:lang w:val="en-GB"/>
        </w:rPr>
        <w:t>features</w:t>
      </w:r>
      <w:r w:rsidRPr="00FB21F1">
        <w:rPr>
          <w:rFonts w:cs="Times New Roman"/>
          <w:color w:val="000000" w:themeColor="text1"/>
          <w:sz w:val="20"/>
          <w:szCs w:val="20"/>
          <w:lang w:val="en-GB"/>
        </w:rPr>
        <w:t xml:space="preserve"> that characterize the employment of the European Union’s countries. Conducted research consider</w:t>
      </w:r>
      <w:r w:rsidR="005F61E0">
        <w:rPr>
          <w:rFonts w:cs="Times New Roman"/>
          <w:color w:val="000000" w:themeColor="text1"/>
          <w:sz w:val="20"/>
          <w:szCs w:val="20"/>
          <w:lang w:val="en-GB"/>
        </w:rPr>
        <w:t>ed</w:t>
      </w:r>
      <w:r w:rsidRPr="00FB21F1">
        <w:rPr>
          <w:rFonts w:cs="Times New Roman"/>
          <w:color w:val="000000" w:themeColor="text1"/>
          <w:sz w:val="20"/>
          <w:szCs w:val="20"/>
          <w:lang w:val="en-GB"/>
        </w:rPr>
        <w:t xml:space="preserve"> such </w:t>
      </w:r>
      <w:r w:rsidR="005F61E0">
        <w:rPr>
          <w:rFonts w:cs="Times New Roman"/>
          <w:color w:val="000000" w:themeColor="text1"/>
          <w:sz w:val="20"/>
          <w:szCs w:val="20"/>
          <w:lang w:val="en-GB"/>
        </w:rPr>
        <w:t>characteristics of labour force like</w:t>
      </w:r>
      <w:r w:rsidRPr="00FB21F1">
        <w:rPr>
          <w:rFonts w:cs="Times New Roman"/>
          <w:color w:val="000000" w:themeColor="text1"/>
          <w:sz w:val="20"/>
          <w:szCs w:val="20"/>
          <w:lang w:val="en-GB"/>
        </w:rPr>
        <w:t xml:space="preserve"> share of total labour compensation in GDP, </w:t>
      </w:r>
      <w:r w:rsidR="005F61E0">
        <w:rPr>
          <w:rFonts w:cs="Times New Roman"/>
          <w:color w:val="000000" w:themeColor="text1"/>
          <w:sz w:val="20"/>
          <w:szCs w:val="20"/>
          <w:lang w:val="en-GB"/>
        </w:rPr>
        <w:t xml:space="preserve">the number of worked hours </w:t>
      </w:r>
      <w:r w:rsidRPr="00FB21F1">
        <w:rPr>
          <w:rFonts w:cs="Times New Roman"/>
          <w:color w:val="000000" w:themeColor="text1"/>
          <w:sz w:val="20"/>
          <w:szCs w:val="20"/>
          <w:lang w:val="en-GB"/>
        </w:rPr>
        <w:t>and labour productivity. According to the economic theory</w:t>
      </w:r>
      <w:r w:rsidR="00385380">
        <w:rPr>
          <w:rFonts w:cs="Times New Roman"/>
          <w:color w:val="000000" w:themeColor="text1"/>
          <w:sz w:val="20"/>
          <w:szCs w:val="20"/>
          <w:lang w:val="en-GB"/>
        </w:rPr>
        <w:t>,</w:t>
      </w:r>
      <w:r w:rsidRPr="00FB21F1">
        <w:rPr>
          <w:rFonts w:cs="Times New Roman"/>
          <w:color w:val="000000" w:themeColor="text1"/>
          <w:sz w:val="20"/>
          <w:szCs w:val="20"/>
          <w:lang w:val="en-GB"/>
        </w:rPr>
        <w:t xml:space="preserve"> this last variable plays the </w:t>
      </w:r>
      <w:r w:rsidR="005F61E0">
        <w:rPr>
          <w:rFonts w:cs="Times New Roman"/>
          <w:color w:val="000000" w:themeColor="text1"/>
          <w:sz w:val="20"/>
          <w:szCs w:val="20"/>
          <w:lang w:val="en-GB"/>
        </w:rPr>
        <w:t>crucial</w:t>
      </w:r>
      <w:r w:rsidRPr="00FB21F1">
        <w:rPr>
          <w:rFonts w:cs="Times New Roman"/>
          <w:color w:val="000000" w:themeColor="text1"/>
          <w:sz w:val="20"/>
          <w:szCs w:val="20"/>
          <w:lang w:val="en-GB"/>
        </w:rPr>
        <w:t xml:space="preserve"> role in the formation of the long-term economic growth. </w:t>
      </w:r>
      <w:r w:rsidR="005F61E0">
        <w:rPr>
          <w:rFonts w:cs="Times New Roman"/>
          <w:color w:val="000000" w:themeColor="text1"/>
          <w:sz w:val="20"/>
          <w:szCs w:val="20"/>
          <w:lang w:val="en-GB"/>
        </w:rPr>
        <w:t>The</w:t>
      </w:r>
      <w:r w:rsidR="00385380">
        <w:rPr>
          <w:rFonts w:cs="Times New Roman"/>
          <w:color w:val="000000" w:themeColor="text1"/>
          <w:sz w:val="20"/>
          <w:szCs w:val="20"/>
          <w:lang w:val="en-GB"/>
        </w:rPr>
        <w:t>re was</w:t>
      </w:r>
      <w:r w:rsidR="005F61E0">
        <w:rPr>
          <w:rFonts w:cs="Times New Roman"/>
          <w:color w:val="000000" w:themeColor="text1"/>
          <w:sz w:val="20"/>
          <w:szCs w:val="20"/>
          <w:lang w:val="en-GB"/>
        </w:rPr>
        <w:t xml:space="preserve"> examined also </w:t>
      </w:r>
      <w:r w:rsidR="005F61E0" w:rsidRPr="00FB21F1">
        <w:rPr>
          <w:rFonts w:cs="Times New Roman"/>
          <w:color w:val="000000" w:themeColor="text1"/>
          <w:sz w:val="20"/>
          <w:szCs w:val="20"/>
          <w:lang w:val="en-GB"/>
        </w:rPr>
        <w:t xml:space="preserve">the influence of the economic crisis on the behaviour </w:t>
      </w:r>
      <w:r w:rsidR="005F61E0">
        <w:rPr>
          <w:rFonts w:cs="Times New Roman"/>
          <w:color w:val="000000" w:themeColor="text1"/>
          <w:sz w:val="20"/>
          <w:szCs w:val="20"/>
          <w:lang w:val="en-GB"/>
        </w:rPr>
        <w:t>of</w:t>
      </w:r>
      <w:r w:rsidRPr="00FB21F1">
        <w:rPr>
          <w:rFonts w:cs="Times New Roman"/>
          <w:color w:val="000000" w:themeColor="text1"/>
          <w:sz w:val="20"/>
          <w:szCs w:val="20"/>
          <w:lang w:val="en-GB"/>
        </w:rPr>
        <w:t xml:space="preserve"> indicated variables. A main statistical data source w</w:t>
      </w:r>
      <w:r w:rsidR="005F61E0">
        <w:rPr>
          <w:rFonts w:cs="Times New Roman"/>
          <w:color w:val="000000" w:themeColor="text1"/>
          <w:sz w:val="20"/>
          <w:szCs w:val="20"/>
          <w:lang w:val="en-GB"/>
        </w:rPr>
        <w:t>as</w:t>
      </w:r>
      <w:r w:rsidRPr="00FB21F1">
        <w:rPr>
          <w:rFonts w:cs="Times New Roman"/>
          <w:color w:val="000000" w:themeColor="text1"/>
          <w:sz w:val="20"/>
          <w:szCs w:val="20"/>
          <w:lang w:val="en-GB"/>
        </w:rPr>
        <w:t xml:space="preserve"> the Total Economy Database published by The Conference Board. The author </w:t>
      </w:r>
      <w:r w:rsidR="005F61E0">
        <w:rPr>
          <w:rFonts w:cs="Times New Roman"/>
          <w:color w:val="000000" w:themeColor="text1"/>
          <w:sz w:val="20"/>
          <w:szCs w:val="20"/>
          <w:lang w:val="en-GB"/>
        </w:rPr>
        <w:t xml:space="preserve">showed </w:t>
      </w:r>
      <w:r w:rsidRPr="00FB21F1">
        <w:rPr>
          <w:rFonts w:cs="Times New Roman"/>
          <w:color w:val="000000" w:themeColor="text1"/>
          <w:sz w:val="20"/>
          <w:szCs w:val="20"/>
          <w:lang w:val="en-GB"/>
        </w:rPr>
        <w:t>that there exists growing international differen</w:t>
      </w:r>
      <w:r w:rsidR="00385380">
        <w:rPr>
          <w:rFonts w:cs="Times New Roman"/>
          <w:color w:val="000000" w:themeColor="text1"/>
          <w:sz w:val="20"/>
          <w:szCs w:val="20"/>
          <w:lang w:val="en-GB"/>
        </w:rPr>
        <w:t>ces</w:t>
      </w:r>
      <w:r w:rsidRPr="00FB21F1">
        <w:rPr>
          <w:rFonts w:cs="Times New Roman"/>
          <w:color w:val="000000" w:themeColor="text1"/>
          <w:sz w:val="20"/>
          <w:szCs w:val="20"/>
          <w:lang w:val="en-GB"/>
        </w:rPr>
        <w:t xml:space="preserve"> of basic characteristics of labour force utilization</w:t>
      </w:r>
      <w:r w:rsidR="005F61E0">
        <w:rPr>
          <w:rFonts w:cs="Times New Roman"/>
          <w:color w:val="000000" w:themeColor="text1"/>
          <w:sz w:val="20"/>
          <w:szCs w:val="20"/>
          <w:lang w:val="en-GB"/>
        </w:rPr>
        <w:t xml:space="preserve"> and </w:t>
      </w:r>
      <w:r w:rsidR="00385380">
        <w:rPr>
          <w:rFonts w:cs="Times New Roman"/>
          <w:color w:val="000000" w:themeColor="text1"/>
          <w:sz w:val="20"/>
          <w:szCs w:val="20"/>
          <w:lang w:val="en-GB"/>
        </w:rPr>
        <w:t>productivity</w:t>
      </w:r>
      <w:r w:rsidRPr="00FB21F1">
        <w:rPr>
          <w:rFonts w:cs="Times New Roman"/>
          <w:color w:val="000000" w:themeColor="text1"/>
          <w:sz w:val="20"/>
          <w:szCs w:val="20"/>
          <w:lang w:val="en-GB"/>
        </w:rPr>
        <w:t>. The conclusions w</w:t>
      </w:r>
      <w:r w:rsidR="005F61E0">
        <w:rPr>
          <w:rFonts w:cs="Times New Roman"/>
          <w:color w:val="000000" w:themeColor="text1"/>
          <w:sz w:val="20"/>
          <w:szCs w:val="20"/>
          <w:lang w:val="en-GB"/>
        </w:rPr>
        <w:t xml:space="preserve">ere </w:t>
      </w:r>
      <w:r w:rsidRPr="00FB21F1">
        <w:rPr>
          <w:rFonts w:cs="Times New Roman"/>
          <w:color w:val="000000" w:themeColor="text1"/>
          <w:sz w:val="20"/>
          <w:szCs w:val="20"/>
          <w:lang w:val="en-GB"/>
        </w:rPr>
        <w:t xml:space="preserve">drawn </w:t>
      </w:r>
      <w:r w:rsidR="005F61E0">
        <w:rPr>
          <w:rFonts w:cs="Times New Roman"/>
          <w:color w:val="000000" w:themeColor="text1"/>
          <w:sz w:val="20"/>
          <w:szCs w:val="20"/>
          <w:lang w:val="en-GB"/>
        </w:rPr>
        <w:t xml:space="preserve">on the ground of </w:t>
      </w:r>
      <w:r w:rsidRPr="00FB21F1">
        <w:rPr>
          <w:rFonts w:cs="Times New Roman"/>
          <w:color w:val="000000" w:themeColor="text1"/>
          <w:sz w:val="20"/>
          <w:szCs w:val="20"/>
          <w:lang w:val="en-GB"/>
        </w:rPr>
        <w:t xml:space="preserve">the </w:t>
      </w:r>
      <w:r w:rsidR="005F61E0">
        <w:rPr>
          <w:rFonts w:cs="Times New Roman"/>
          <w:color w:val="000000" w:themeColor="text1"/>
          <w:sz w:val="20"/>
          <w:szCs w:val="20"/>
          <w:lang w:val="en-GB"/>
        </w:rPr>
        <w:t xml:space="preserve">cluster </w:t>
      </w:r>
      <w:r w:rsidRPr="00FB21F1">
        <w:rPr>
          <w:rFonts w:cs="Times New Roman"/>
          <w:color w:val="000000" w:themeColor="text1"/>
          <w:sz w:val="20"/>
          <w:szCs w:val="20"/>
          <w:lang w:val="en-GB"/>
        </w:rPr>
        <w:t>analysis</w:t>
      </w:r>
      <w:r w:rsidR="005F61E0">
        <w:rPr>
          <w:rFonts w:cs="Times New Roman"/>
          <w:color w:val="000000" w:themeColor="text1"/>
          <w:sz w:val="20"/>
          <w:szCs w:val="20"/>
          <w:lang w:val="en-GB"/>
        </w:rPr>
        <w:t xml:space="preserve">, which allowed </w:t>
      </w:r>
      <w:r w:rsidRPr="00FB21F1">
        <w:rPr>
          <w:rFonts w:cs="Times New Roman"/>
          <w:color w:val="000000" w:themeColor="text1"/>
          <w:sz w:val="20"/>
          <w:szCs w:val="20"/>
          <w:lang w:val="en-GB"/>
        </w:rPr>
        <w:t xml:space="preserve">to derive homogenous groups of countries according to </w:t>
      </w:r>
      <w:r w:rsidR="005F61E0">
        <w:rPr>
          <w:rFonts w:cs="Times New Roman"/>
          <w:color w:val="000000" w:themeColor="text1"/>
          <w:sz w:val="20"/>
          <w:szCs w:val="20"/>
          <w:lang w:val="en-GB"/>
        </w:rPr>
        <w:t>its</w:t>
      </w:r>
      <w:r w:rsidRPr="00FB21F1">
        <w:rPr>
          <w:rFonts w:cs="Times New Roman"/>
          <w:color w:val="000000" w:themeColor="text1"/>
          <w:sz w:val="20"/>
          <w:szCs w:val="20"/>
          <w:lang w:val="en-GB"/>
        </w:rPr>
        <w:t xml:space="preserve"> specificity of labour utilization</w:t>
      </w:r>
      <w:r w:rsidR="00385380">
        <w:rPr>
          <w:rFonts w:cs="Times New Roman"/>
          <w:color w:val="000000" w:themeColor="text1"/>
          <w:sz w:val="20"/>
          <w:szCs w:val="20"/>
          <w:lang w:val="en-GB"/>
        </w:rPr>
        <w:t xml:space="preserve"> and efficiency</w:t>
      </w:r>
      <w:r w:rsidRPr="00FB21F1">
        <w:rPr>
          <w:rFonts w:cs="Times New Roman"/>
          <w:color w:val="000000" w:themeColor="text1"/>
          <w:sz w:val="20"/>
          <w:szCs w:val="20"/>
          <w:lang w:val="en-GB"/>
        </w:rPr>
        <w:t>.</w:t>
      </w:r>
    </w:p>
    <w:p w:rsidR="00FB21F1" w:rsidRDefault="00FB21F1" w:rsidP="00F633D8"/>
    <w:p w:rsidR="00F633D8" w:rsidRPr="00F633D8" w:rsidRDefault="00F633D8" w:rsidP="00F633D8">
      <w:pPr>
        <w:rPr>
          <w:b/>
        </w:rPr>
      </w:pPr>
      <w:r w:rsidRPr="00F633D8">
        <w:rPr>
          <w:b/>
        </w:rPr>
        <w:t>Introduction</w:t>
      </w:r>
    </w:p>
    <w:p w:rsidR="00A4352C" w:rsidRDefault="00A4352C" w:rsidP="00C3271D">
      <w:pPr>
        <w:ind w:firstLine="284"/>
        <w:rPr>
          <w:lang w:val="en-GB"/>
        </w:rPr>
      </w:pPr>
      <w:r>
        <w:rPr>
          <w:rFonts w:ascii="TimesNewRomanPSMT" w:hAnsi="TimesNewRomanPSMT" w:cs="TimesNewRomanPSMT"/>
          <w:lang w:val="en-US"/>
        </w:rPr>
        <w:t>Labour force</w:t>
      </w:r>
      <w:r w:rsidR="00F6428E">
        <w:rPr>
          <w:rFonts w:ascii="TimesNewRomanPSMT" w:hAnsi="TimesNewRomanPSMT" w:cs="TimesNewRomanPSMT"/>
          <w:lang w:val="en-US"/>
        </w:rPr>
        <w:t xml:space="preserve"> resources</w:t>
      </w:r>
      <w:r w:rsidR="006273BC">
        <w:rPr>
          <w:rFonts w:ascii="TimesNewRomanPSMT" w:hAnsi="TimesNewRomanPSMT" w:cs="TimesNewRomanPSMT"/>
          <w:lang w:val="en-US"/>
        </w:rPr>
        <w:t xml:space="preserve"> and</w:t>
      </w:r>
      <w:r w:rsidR="00F6428E">
        <w:rPr>
          <w:rFonts w:ascii="TimesNewRomanPSMT" w:hAnsi="TimesNewRomanPSMT" w:cs="TimesNewRomanPSMT"/>
          <w:lang w:val="en-US"/>
        </w:rPr>
        <w:t xml:space="preserve"> quality play crucial role in economic growth as well as in e</w:t>
      </w:r>
      <w:r w:rsidR="00AA6B6B" w:rsidRPr="00B21B05">
        <w:rPr>
          <w:rFonts w:ascii="TimesNewRomanPSMT" w:hAnsi="TimesNewRomanPSMT" w:cs="TimesNewRomanPSMT"/>
          <w:lang w:val="en-US"/>
        </w:rPr>
        <w:t xml:space="preserve">conomic transition </w:t>
      </w:r>
      <w:r w:rsidR="00F6428E">
        <w:rPr>
          <w:rFonts w:ascii="TimesNewRomanPSMT" w:hAnsi="TimesNewRomanPSMT" w:cs="TimesNewRomanPSMT"/>
          <w:lang w:val="en-US"/>
        </w:rPr>
        <w:t xml:space="preserve">of </w:t>
      </w:r>
      <w:r w:rsidR="00AA6B6B" w:rsidRPr="00B21B05">
        <w:rPr>
          <w:rFonts w:ascii="TimesNewRomanPSMT" w:hAnsi="TimesNewRomanPSMT" w:cs="TimesNewRomanPSMT"/>
          <w:lang w:val="en-US"/>
        </w:rPr>
        <w:t>countries</w:t>
      </w:r>
      <w:r w:rsidR="00F6428E">
        <w:rPr>
          <w:rFonts w:ascii="TimesNewRomanPSMT" w:hAnsi="TimesNewRomanPSMT" w:cs="TimesNewRomanPSMT"/>
          <w:lang w:val="en-US"/>
        </w:rPr>
        <w:t>.</w:t>
      </w:r>
      <w:r w:rsidR="00A23506" w:rsidRPr="003151EC">
        <w:rPr>
          <w:rFonts w:cs="Times New Roman"/>
        </w:rPr>
        <w:t xml:space="preserve"> </w:t>
      </w:r>
      <w:r>
        <w:t xml:space="preserve">Relevance of </w:t>
      </w:r>
      <w:r w:rsidR="006273BC">
        <w:t xml:space="preserve">labour </w:t>
      </w:r>
      <w:r>
        <w:t xml:space="preserve">depends on </w:t>
      </w:r>
      <w:r w:rsidR="0053017B">
        <w:t>its main</w:t>
      </w:r>
      <w:r>
        <w:t xml:space="preserve"> characteristics, including: share of labour in national income, labour productivity and number of </w:t>
      </w:r>
      <w:r w:rsidRPr="00A57B86">
        <w:t>hours worked</w:t>
      </w:r>
      <w:r>
        <w:t xml:space="preserve">. </w:t>
      </w:r>
      <w:r w:rsidR="00A23506">
        <w:rPr>
          <w:lang w:val="en-GB"/>
        </w:rPr>
        <w:t xml:space="preserve">Since 1960 in major industrial countries </w:t>
      </w:r>
      <w:r>
        <w:rPr>
          <w:lang w:val="en-GB"/>
        </w:rPr>
        <w:t xml:space="preserve">we </w:t>
      </w:r>
      <w:r w:rsidR="00A23506">
        <w:rPr>
          <w:lang w:val="en-GB"/>
        </w:rPr>
        <w:t xml:space="preserve">can observe a very large and systematic negative link between labour force growth and labour productivity </w:t>
      </w:r>
      <w:r w:rsidR="00AA6B6B">
        <w:rPr>
          <w:lang w:val="en-GB"/>
        </w:rPr>
        <w:t>(Beaudry, Collard, 2002</w:t>
      </w:r>
      <w:r w:rsidR="00A23506">
        <w:rPr>
          <w:lang w:val="en-GB"/>
        </w:rPr>
        <w:t xml:space="preserve">). This </w:t>
      </w:r>
      <w:r>
        <w:rPr>
          <w:lang w:val="en-GB"/>
        </w:rPr>
        <w:t xml:space="preserve">relation is </w:t>
      </w:r>
      <w:r w:rsidR="00A23506">
        <w:rPr>
          <w:lang w:val="en-GB"/>
        </w:rPr>
        <w:t xml:space="preserve">probably the main reason of decreasing number of </w:t>
      </w:r>
      <w:r>
        <w:rPr>
          <w:lang w:val="en-GB"/>
        </w:rPr>
        <w:t xml:space="preserve">hours worked and reduction of the labour share in gross domestic product. </w:t>
      </w:r>
      <w:r w:rsidR="0053017B">
        <w:rPr>
          <w:lang w:val="en-GB"/>
        </w:rPr>
        <w:t xml:space="preserve">We can also assume that pattern of labour force use and efficiency is strongly related </w:t>
      </w:r>
      <w:r w:rsidR="00B0565F">
        <w:rPr>
          <w:lang w:val="en-GB"/>
        </w:rPr>
        <w:t xml:space="preserve">to the level of economic development. </w:t>
      </w:r>
      <w:r w:rsidR="00112947">
        <w:rPr>
          <w:lang w:val="en-GB"/>
        </w:rPr>
        <w:t xml:space="preserve">The main goals of the undertaken research </w:t>
      </w:r>
      <w:r w:rsidR="006273BC">
        <w:rPr>
          <w:lang w:val="en-GB"/>
        </w:rPr>
        <w:t>was</w:t>
      </w:r>
      <w:r w:rsidR="0053017B">
        <w:rPr>
          <w:lang w:val="en-GB"/>
        </w:rPr>
        <w:t xml:space="preserve"> </w:t>
      </w:r>
      <w:r w:rsidR="00B0565F">
        <w:rPr>
          <w:lang w:val="en-GB"/>
        </w:rPr>
        <w:t xml:space="preserve">an identification of similarities of the European Union members according to </w:t>
      </w:r>
      <w:r w:rsidR="00112947">
        <w:rPr>
          <w:lang w:val="en-GB"/>
        </w:rPr>
        <w:t>chosen features of labour force</w:t>
      </w:r>
      <w:r w:rsidR="00B0565F">
        <w:rPr>
          <w:lang w:val="en-GB"/>
        </w:rPr>
        <w:t xml:space="preserve">. </w:t>
      </w:r>
      <w:r w:rsidR="00BD465E">
        <w:rPr>
          <w:lang w:val="en-GB"/>
        </w:rPr>
        <w:t>The results were obtained by means of c</w:t>
      </w:r>
      <w:r w:rsidR="00BD465E">
        <w:rPr>
          <w:lang w:val="en-GB"/>
        </w:rPr>
        <w:t>luster analysis</w:t>
      </w:r>
      <w:r w:rsidR="00B0565F">
        <w:rPr>
          <w:lang w:val="en-GB"/>
        </w:rPr>
        <w:t>.</w:t>
      </w:r>
    </w:p>
    <w:p w:rsidR="00B0565F" w:rsidRPr="00B0565F" w:rsidRDefault="00B0565F" w:rsidP="00A23506">
      <w:pPr>
        <w:autoSpaceDE w:val="0"/>
        <w:autoSpaceDN w:val="0"/>
        <w:adjustRightInd w:val="0"/>
        <w:rPr>
          <w:color w:val="000000" w:themeColor="text1"/>
          <w:lang w:val="en-GB"/>
        </w:rPr>
      </w:pPr>
    </w:p>
    <w:p w:rsidR="00AA6B6B" w:rsidRDefault="00A4352C" w:rsidP="00AA6B6B">
      <w:pPr>
        <w:rPr>
          <w:lang w:val="en-GB"/>
        </w:rPr>
      </w:pPr>
      <w:r>
        <w:rPr>
          <w:b/>
        </w:rPr>
        <w:t>Past and recent t</w:t>
      </w:r>
      <w:r w:rsidRPr="0064207D">
        <w:rPr>
          <w:b/>
        </w:rPr>
        <w:t xml:space="preserve">rends </w:t>
      </w:r>
      <w:r>
        <w:rPr>
          <w:b/>
        </w:rPr>
        <w:t xml:space="preserve">in the European Union’s </w:t>
      </w:r>
      <w:r w:rsidRPr="0064207D">
        <w:rPr>
          <w:b/>
        </w:rPr>
        <w:t>labour force</w:t>
      </w:r>
    </w:p>
    <w:p w:rsidR="00C3271D" w:rsidRDefault="000E51F6" w:rsidP="00C3271D">
      <w:pPr>
        <w:spacing w:after="0"/>
        <w:ind w:firstLine="284"/>
        <w:rPr>
          <w:rFonts w:ascii="TimesTen-Roman" w:hAnsi="TimesTen-Roman" w:cs="TimesTen-Roman"/>
          <w:color w:val="000000" w:themeColor="text1"/>
        </w:rPr>
      </w:pPr>
      <w:r>
        <w:rPr>
          <w:rFonts w:cs="Times New Roman"/>
        </w:rPr>
        <w:t>S</w:t>
      </w:r>
      <w:r w:rsidRPr="000E51F6">
        <w:rPr>
          <w:rFonts w:cs="Times New Roman"/>
        </w:rPr>
        <w:t>hare of labo</w:t>
      </w:r>
      <w:r>
        <w:rPr>
          <w:rFonts w:cs="Times New Roman"/>
        </w:rPr>
        <w:t>u</w:t>
      </w:r>
      <w:r w:rsidRPr="000E51F6">
        <w:rPr>
          <w:rFonts w:cs="Times New Roman"/>
        </w:rPr>
        <w:t xml:space="preserve">r in national income has been one of the most </w:t>
      </w:r>
      <w:r>
        <w:rPr>
          <w:rFonts w:cs="Times New Roman"/>
        </w:rPr>
        <w:t xml:space="preserve">important </w:t>
      </w:r>
      <w:r w:rsidRPr="000E51F6">
        <w:rPr>
          <w:rFonts w:cs="Times New Roman"/>
        </w:rPr>
        <w:t xml:space="preserve">issue in economics and remains the focal point of </w:t>
      </w:r>
      <w:r>
        <w:rPr>
          <w:rFonts w:cs="Times New Roman"/>
        </w:rPr>
        <w:t>modern economic theories</w:t>
      </w:r>
      <w:r w:rsidRPr="000E51F6">
        <w:rPr>
          <w:rFonts w:cs="Times New Roman"/>
        </w:rPr>
        <w:t xml:space="preserve">. However, </w:t>
      </w:r>
      <w:r>
        <w:rPr>
          <w:rFonts w:cs="Times New Roman"/>
        </w:rPr>
        <w:t xml:space="preserve">we can observe </w:t>
      </w:r>
      <w:r w:rsidRPr="000E51F6">
        <w:rPr>
          <w:rFonts w:cs="Times New Roman"/>
        </w:rPr>
        <w:t xml:space="preserve">a serious disconnect between the use of </w:t>
      </w:r>
      <w:r>
        <w:rPr>
          <w:rFonts w:cs="Times New Roman"/>
        </w:rPr>
        <w:t xml:space="preserve">this </w:t>
      </w:r>
      <w:r w:rsidRPr="000E51F6">
        <w:rPr>
          <w:rFonts w:cs="Times New Roman"/>
        </w:rPr>
        <w:t>share in theoretical models and actual estimates of th</w:t>
      </w:r>
      <w:r w:rsidR="00877AA6">
        <w:rPr>
          <w:rFonts w:cs="Times New Roman"/>
        </w:rPr>
        <w:t>is</w:t>
      </w:r>
      <w:r w:rsidRPr="000E51F6">
        <w:rPr>
          <w:rFonts w:cs="Times New Roman"/>
        </w:rPr>
        <w:t xml:space="preserve"> share in empirical investigations.</w:t>
      </w:r>
      <w:r w:rsidR="00877AA6">
        <w:rPr>
          <w:rFonts w:cs="Times New Roman"/>
        </w:rPr>
        <w:t xml:space="preserve"> A. </w:t>
      </w:r>
      <w:r w:rsidR="00877AA6">
        <w:t>Izyumov</w:t>
      </w:r>
      <w:r w:rsidR="00877AA6">
        <w:rPr>
          <w:rFonts w:cs="Times New Roman"/>
        </w:rPr>
        <w:t xml:space="preserve"> and J. </w:t>
      </w:r>
      <w:r w:rsidR="00877AA6" w:rsidRPr="00FB5775">
        <w:t>Vahaly</w:t>
      </w:r>
      <w:r w:rsidR="00877AA6">
        <w:t xml:space="preserve"> found in their study </w:t>
      </w:r>
      <w:r w:rsidR="00834BB2">
        <w:t xml:space="preserve">carried for 1990’s and 2000’s </w:t>
      </w:r>
      <w:r w:rsidR="00877AA6">
        <w:t xml:space="preserve">that labour shares in low developed and </w:t>
      </w:r>
      <w:r w:rsidR="00877AA6" w:rsidRPr="00877AA6">
        <w:rPr>
          <w:rFonts w:cs="Times New Roman"/>
        </w:rPr>
        <w:t>transition countries are respectively lower than in high developed ones. The</w:t>
      </w:r>
      <w:r w:rsidR="00F40CAD">
        <w:rPr>
          <w:rFonts w:cs="Times New Roman"/>
        </w:rPr>
        <w:t>ir</w:t>
      </w:r>
      <w:r w:rsidR="00877AA6" w:rsidRPr="00877AA6">
        <w:rPr>
          <w:rFonts w:cs="Times New Roman"/>
        </w:rPr>
        <w:t xml:space="preserve"> data confirmed also the existence of a long-term </w:t>
      </w:r>
      <w:r w:rsidR="007A7401">
        <w:rPr>
          <w:rFonts w:cs="Times New Roman"/>
        </w:rPr>
        <w:t>down</w:t>
      </w:r>
      <w:r w:rsidR="00877AA6" w:rsidRPr="00877AA6">
        <w:rPr>
          <w:rFonts w:cs="Times New Roman"/>
        </w:rPr>
        <w:t xml:space="preserve">ward </w:t>
      </w:r>
      <w:r w:rsidR="00877AA6" w:rsidRPr="00877AA6">
        <w:rPr>
          <w:rFonts w:cs="Times New Roman"/>
        </w:rPr>
        <w:lastRenderedPageBreak/>
        <w:t>trend for labour shares in the majority of countries (Izyumov, Vahaly, 2014, p</w:t>
      </w:r>
      <w:proofErr w:type="gramStart"/>
      <w:r w:rsidR="00877AA6" w:rsidRPr="00877AA6">
        <w:rPr>
          <w:rFonts w:cs="Times New Roman"/>
        </w:rPr>
        <w:t>. 697)</w:t>
      </w:r>
      <w:r w:rsidR="00BC628D">
        <w:rPr>
          <w:rStyle w:val="Odwoanieprzypisudolnego"/>
          <w:rFonts w:cs="Times New Roman"/>
        </w:rPr>
        <w:footnoteReference w:id="1"/>
      </w:r>
      <w:r w:rsidR="00877AA6" w:rsidRPr="00877AA6">
        <w:rPr>
          <w:rFonts w:cs="Times New Roman"/>
        </w:rPr>
        <w:t>.</w:t>
      </w:r>
      <w:r w:rsidR="00877AA6">
        <w:rPr>
          <w:rFonts w:cs="Times New Roman"/>
        </w:rPr>
        <w:t xml:space="preserve"> </w:t>
      </w:r>
      <w:r w:rsidR="00F40CAD">
        <w:rPr>
          <w:rFonts w:cs="Times New Roman"/>
        </w:rPr>
        <w:t>Though</w:t>
      </w:r>
      <w:proofErr w:type="gramEnd"/>
      <w:r w:rsidR="00834BB2">
        <w:rPr>
          <w:rFonts w:cs="Times New Roman"/>
        </w:rPr>
        <w:t>, w</w:t>
      </w:r>
      <w:r w:rsidR="00877AA6">
        <w:rPr>
          <w:rFonts w:cs="Times New Roman"/>
        </w:rPr>
        <w:t xml:space="preserve">e will be able to see that this tendency was suppressed </w:t>
      </w:r>
      <w:r w:rsidR="00834BB2">
        <w:rPr>
          <w:rFonts w:cs="Times New Roman"/>
        </w:rPr>
        <w:t xml:space="preserve">by the latest world economic crisis. </w:t>
      </w:r>
      <w:r w:rsidR="00F40CAD">
        <w:rPr>
          <w:rFonts w:cs="Times New Roman"/>
        </w:rPr>
        <w:t xml:space="preserve">Probably the main reasons of this phenomenon were lower profits and less investment possibilities. </w:t>
      </w:r>
      <w:r w:rsidR="007A7401" w:rsidRPr="00331AAF">
        <w:rPr>
          <w:rFonts w:cs="Times New Roman"/>
          <w:iCs/>
        </w:rPr>
        <w:t>The drivers of d</w:t>
      </w:r>
      <w:r w:rsidR="007A7401" w:rsidRPr="00331AAF">
        <w:t xml:space="preserve">ecline of </w:t>
      </w:r>
      <w:r w:rsidR="007A7401" w:rsidRPr="00331AAF">
        <w:rPr>
          <w:rFonts w:cs="Times New Roman"/>
          <w:iCs/>
        </w:rPr>
        <w:t>the labour share represented by wages, salaries and benefits</w:t>
      </w:r>
      <w:r w:rsidR="007A7401" w:rsidRPr="00331AAF">
        <w:t xml:space="preserve"> </w:t>
      </w:r>
      <w:r w:rsidR="007A7401" w:rsidRPr="00331AAF">
        <w:rPr>
          <w:rFonts w:cs="Times New Roman"/>
          <w:iCs/>
        </w:rPr>
        <w:t xml:space="preserve">in national income </w:t>
      </w:r>
      <w:r w:rsidR="007A7401" w:rsidRPr="00331AAF">
        <w:t xml:space="preserve">in almost all OECD </w:t>
      </w:r>
      <w:r w:rsidR="007A7401" w:rsidRPr="00331AAF">
        <w:rPr>
          <w:rFonts w:cs="Times New Roman"/>
          <w:iCs/>
        </w:rPr>
        <w:t xml:space="preserve">countries were examined in </w:t>
      </w:r>
      <w:r w:rsidR="007A7401" w:rsidRPr="00331AAF">
        <w:rPr>
          <w:rFonts w:cs="Times New Roman"/>
          <w:color w:val="000000" w:themeColor="text1"/>
        </w:rPr>
        <w:t xml:space="preserve">(OECD, 2012). Authors </w:t>
      </w:r>
      <w:r w:rsidR="007A7401" w:rsidRPr="00331AAF">
        <w:rPr>
          <w:rFonts w:cs="Times New Roman"/>
          <w:iCs/>
        </w:rPr>
        <w:t xml:space="preserve">stressed the role played by factors such as increased productivity and capital-deepening, increased domestic and international competition, the reduction of workers’ bargaining power, the evolution of collective bargaining institutions and </w:t>
      </w:r>
      <w:r w:rsidR="007A7401" w:rsidRPr="00331AAF">
        <w:rPr>
          <w:rFonts w:cs="Times New Roman"/>
        </w:rPr>
        <w:t>reducing public ownership</w:t>
      </w:r>
      <w:r w:rsidR="00331AAF" w:rsidRPr="00331AAF">
        <w:rPr>
          <w:rFonts w:cs="Times New Roman"/>
        </w:rPr>
        <w:t>. The latest</w:t>
      </w:r>
      <w:r w:rsidR="007A7401" w:rsidRPr="00331AAF">
        <w:rPr>
          <w:rFonts w:cs="Times New Roman"/>
        </w:rPr>
        <w:t xml:space="preserve">, probably through the impact of privatisation on incentives for profit maximisation. </w:t>
      </w:r>
      <w:r w:rsidR="00331AAF" w:rsidRPr="00331AAF">
        <w:rPr>
          <w:rFonts w:cs="Times New Roman"/>
        </w:rPr>
        <w:t>According to their opinion, t</w:t>
      </w:r>
      <w:r w:rsidR="007A7401" w:rsidRPr="00331AAF">
        <w:rPr>
          <w:rFonts w:cs="Times New Roman"/>
          <w:iCs/>
        </w:rPr>
        <w:t xml:space="preserve">he decline of the labour share </w:t>
      </w:r>
      <w:r w:rsidR="00331AAF" w:rsidRPr="00331AAF">
        <w:rPr>
          <w:rFonts w:cs="Times New Roman"/>
          <w:iCs/>
        </w:rPr>
        <w:t xml:space="preserve">can result in </w:t>
      </w:r>
      <w:r w:rsidR="007A7401" w:rsidRPr="00331AAF">
        <w:rPr>
          <w:rFonts w:cs="Times New Roman"/>
          <w:iCs/>
        </w:rPr>
        <w:t xml:space="preserve">greater </w:t>
      </w:r>
      <w:r w:rsidR="00331AAF" w:rsidRPr="00331AAF">
        <w:rPr>
          <w:rFonts w:cs="Times New Roman"/>
          <w:iCs/>
        </w:rPr>
        <w:t xml:space="preserve">income </w:t>
      </w:r>
      <w:r w:rsidR="007A7401" w:rsidRPr="00331AAF">
        <w:rPr>
          <w:rFonts w:cs="Times New Roman"/>
          <w:iCs/>
        </w:rPr>
        <w:t>inequality, which might endanger social cohesion and</w:t>
      </w:r>
      <w:r w:rsidR="00331AAF" w:rsidRPr="00331AAF">
        <w:rPr>
          <w:rFonts w:cs="Times New Roman"/>
          <w:iCs/>
        </w:rPr>
        <w:t xml:space="preserve"> slow down the current recovery</w:t>
      </w:r>
      <w:r w:rsidR="007A7401" w:rsidRPr="00331AAF">
        <w:rPr>
          <w:rFonts w:cs="Times New Roman"/>
          <w:iCs/>
        </w:rPr>
        <w:t>.</w:t>
      </w:r>
      <w:r w:rsidR="001A4587">
        <w:rPr>
          <w:rFonts w:cs="Times New Roman"/>
          <w:iCs/>
        </w:rPr>
        <w:t xml:space="preserve"> </w:t>
      </w:r>
      <w:r w:rsidR="001A4587" w:rsidRPr="00F448DA">
        <w:rPr>
          <w:rFonts w:cs="Times New Roman"/>
          <w:iCs/>
        </w:rPr>
        <w:t xml:space="preserve">One ot the </w:t>
      </w:r>
      <w:r w:rsidR="001A4587" w:rsidRPr="00F448DA">
        <w:rPr>
          <w:rFonts w:cs="Times New Roman"/>
        </w:rPr>
        <w:t>key question formulated in this study was: whether the decline of the aggregate labour share has been the result of a structural shift away from labour-intensive activities or whether instead it has been the result of a decline in the labour share within each industry? The results obtained using shift-share method</w:t>
      </w:r>
      <w:r w:rsidR="00F448DA">
        <w:rPr>
          <w:rStyle w:val="Odwoanieprzypisudolnego"/>
          <w:rFonts w:cs="Times New Roman"/>
        </w:rPr>
        <w:footnoteReference w:id="2"/>
      </w:r>
      <w:r w:rsidR="001A4587" w:rsidRPr="00F448DA">
        <w:rPr>
          <w:rFonts w:cs="Times New Roman"/>
        </w:rPr>
        <w:t xml:space="preserve"> </w:t>
      </w:r>
      <w:r w:rsidR="00F448DA" w:rsidRPr="00F448DA">
        <w:rPr>
          <w:rFonts w:cs="Times New Roman"/>
        </w:rPr>
        <w:t>confirmed that w</w:t>
      </w:r>
      <w:r w:rsidR="007A7401" w:rsidRPr="00F448DA">
        <w:rPr>
          <w:rFonts w:cs="Times New Roman"/>
        </w:rPr>
        <w:t>ithin-industry falls in the labour share</w:t>
      </w:r>
      <w:r w:rsidR="00F448DA" w:rsidRPr="00F448DA">
        <w:rPr>
          <w:rFonts w:cs="Times New Roman"/>
        </w:rPr>
        <w:t>, i.</w:t>
      </w:r>
      <w:proofErr w:type="gramStart"/>
      <w:r w:rsidR="00F448DA" w:rsidRPr="00F448DA">
        <w:rPr>
          <w:rFonts w:cs="Times New Roman"/>
        </w:rPr>
        <w:t>e</w:t>
      </w:r>
      <w:proofErr w:type="gramEnd"/>
      <w:r w:rsidR="00F448DA" w:rsidRPr="00F448DA">
        <w:rPr>
          <w:rFonts w:cs="Times New Roman"/>
        </w:rPr>
        <w:t xml:space="preserve">. </w:t>
      </w:r>
      <w:proofErr w:type="gramStart"/>
      <w:r w:rsidR="00F448DA" w:rsidRPr="00F448DA">
        <w:rPr>
          <w:rFonts w:cs="Times New Roman"/>
        </w:rPr>
        <w:t>divergence</w:t>
      </w:r>
      <w:proofErr w:type="gramEnd"/>
      <w:r w:rsidR="00F448DA" w:rsidRPr="00F448DA">
        <w:rPr>
          <w:rFonts w:cs="Times New Roman"/>
        </w:rPr>
        <w:t xml:space="preserve"> of industry-level productivities, </w:t>
      </w:r>
      <w:r w:rsidR="007A7401" w:rsidRPr="00F448DA">
        <w:rPr>
          <w:rFonts w:cs="Times New Roman"/>
        </w:rPr>
        <w:t>explain an overwhelming proportion of its aggregate decrease between 1990 and 2007.</w:t>
      </w:r>
      <w:r w:rsidR="00973818">
        <w:rPr>
          <w:rFonts w:cs="Times New Roman"/>
        </w:rPr>
        <w:t xml:space="preserve"> </w:t>
      </w:r>
      <w:r w:rsidR="00973818" w:rsidRPr="007A7401">
        <w:rPr>
          <w:rFonts w:ascii="TimesTen-Roman" w:hAnsi="TimesTen-Roman" w:cs="TimesTen-Roman"/>
          <w:color w:val="000000" w:themeColor="text1"/>
        </w:rPr>
        <w:t xml:space="preserve">Despite similar levels of </w:t>
      </w:r>
      <w:r w:rsidR="00973818" w:rsidRPr="00D92867">
        <w:rPr>
          <w:rFonts w:ascii="TimesTen-Roman" w:hAnsi="TimesTen-Roman" w:cs="TimesTen-Roman"/>
          <w:i/>
          <w:color w:val="000000" w:themeColor="text1"/>
        </w:rPr>
        <w:t>per capita</w:t>
      </w:r>
      <w:r w:rsidR="00973818" w:rsidRPr="007A7401">
        <w:rPr>
          <w:rFonts w:ascii="TimesTen-Roman" w:hAnsi="TimesTen-Roman" w:cs="TimesTen-Roman"/>
          <w:color w:val="000000" w:themeColor="text1"/>
        </w:rPr>
        <w:t xml:space="preserve"> income, education and technology, the development of labour income shares in OECD countries has displayed different patterns since 1960</w:t>
      </w:r>
      <w:r w:rsidR="007F27D9">
        <w:rPr>
          <w:rStyle w:val="Odwoanieprzypisudolnego"/>
          <w:rFonts w:ascii="TimesTen-Roman" w:hAnsi="TimesTen-Roman" w:cs="TimesTen-Roman"/>
          <w:color w:val="000000" w:themeColor="text1"/>
        </w:rPr>
        <w:footnoteReference w:id="3"/>
      </w:r>
      <w:r w:rsidR="00973818">
        <w:t xml:space="preserve">. </w:t>
      </w:r>
      <w:r w:rsidR="00FA0D61">
        <w:t xml:space="preserve">One of main reason of this occurence can be </w:t>
      </w:r>
      <w:r w:rsidRPr="007A7401">
        <w:rPr>
          <w:rFonts w:ascii="TimesTen-Roman" w:hAnsi="TimesTen-Roman" w:cs="TimesTen-Roman"/>
          <w:color w:val="000000" w:themeColor="text1"/>
        </w:rPr>
        <w:t>demography</w:t>
      </w:r>
      <w:r w:rsidR="00D92867">
        <w:rPr>
          <w:rFonts w:ascii="TimesTen-Roman" w:hAnsi="TimesTen-Roman" w:cs="TimesTen-Roman"/>
          <w:color w:val="000000" w:themeColor="text1"/>
        </w:rPr>
        <w:t xml:space="preserve"> change</w:t>
      </w:r>
      <w:r w:rsidRPr="007A7401">
        <w:rPr>
          <w:rFonts w:ascii="TimesTen-Roman" w:hAnsi="TimesTen-Roman" w:cs="TimesTen-Roman"/>
          <w:color w:val="000000" w:themeColor="text1"/>
        </w:rPr>
        <w:t xml:space="preserve"> which can affect</w:t>
      </w:r>
      <w:r w:rsidR="007A7401" w:rsidRPr="007A7401">
        <w:rPr>
          <w:rFonts w:ascii="TimesTen-Roman" w:hAnsi="TimesTen-Roman" w:cs="TimesTen-Roman"/>
          <w:color w:val="000000" w:themeColor="text1"/>
        </w:rPr>
        <w:t xml:space="preserve"> </w:t>
      </w:r>
      <w:r w:rsidR="00D92867">
        <w:rPr>
          <w:rFonts w:ascii="TimesTen-Roman" w:hAnsi="TimesTen-Roman" w:cs="TimesTen-Roman"/>
          <w:color w:val="000000" w:themeColor="text1"/>
        </w:rPr>
        <w:t xml:space="preserve">the labour share, </w:t>
      </w:r>
      <w:r w:rsidRPr="007A7401">
        <w:rPr>
          <w:rFonts w:ascii="TimesTen-Roman" w:hAnsi="TimesTen-Roman" w:cs="TimesTen-Roman"/>
          <w:color w:val="000000" w:themeColor="text1"/>
        </w:rPr>
        <w:t>either by altering the domestic capital intensity, by causing factor-biased</w:t>
      </w:r>
      <w:r w:rsidR="007A7401" w:rsidRPr="007A7401">
        <w:rPr>
          <w:rFonts w:ascii="TimesTen-Roman" w:hAnsi="TimesTen-Roman" w:cs="TimesTen-Roman"/>
          <w:color w:val="000000" w:themeColor="text1"/>
        </w:rPr>
        <w:t xml:space="preserve"> </w:t>
      </w:r>
      <w:r w:rsidRPr="007A7401">
        <w:rPr>
          <w:rFonts w:ascii="TimesTen-Roman" w:hAnsi="TimesTen-Roman" w:cs="TimesTen-Roman"/>
          <w:color w:val="000000" w:themeColor="text1"/>
        </w:rPr>
        <w:t xml:space="preserve">technological change or in a small open economy </w:t>
      </w:r>
      <w:r w:rsidRPr="00F27195">
        <w:rPr>
          <w:rFonts w:ascii="TimesTen-Roman" w:hAnsi="TimesTen-Roman" w:cs="TimesTen-Roman"/>
          <w:color w:val="000000" w:themeColor="text1"/>
        </w:rPr>
        <w:t>framework by creating a gap</w:t>
      </w:r>
      <w:r w:rsidR="007A7401" w:rsidRPr="00F27195">
        <w:rPr>
          <w:rFonts w:ascii="TimesTen-Roman" w:hAnsi="TimesTen-Roman" w:cs="TimesTen-Roman"/>
          <w:color w:val="000000" w:themeColor="text1"/>
        </w:rPr>
        <w:t xml:space="preserve"> </w:t>
      </w:r>
      <w:r w:rsidRPr="00F27195">
        <w:rPr>
          <w:rFonts w:ascii="TimesTen-Roman" w:hAnsi="TimesTen-Roman" w:cs="TimesTen-Roman"/>
          <w:color w:val="000000" w:themeColor="text1"/>
        </w:rPr>
        <w:t>between domestic savings and investments. Empirical estimations</w:t>
      </w:r>
      <w:r w:rsidR="00F6488B" w:rsidRPr="00F27195">
        <w:rPr>
          <w:rFonts w:ascii="TimesTen-Roman" w:hAnsi="TimesTen-Roman" w:cs="TimesTen-Roman"/>
          <w:color w:val="000000" w:themeColor="text1"/>
        </w:rPr>
        <w:t xml:space="preserve"> with use of</w:t>
      </w:r>
      <w:r w:rsidR="007A7401" w:rsidRPr="00F27195">
        <w:rPr>
          <w:rFonts w:ascii="TimesTen-Roman" w:hAnsi="TimesTen-Roman" w:cs="TimesTen-Roman"/>
          <w:color w:val="000000" w:themeColor="text1"/>
        </w:rPr>
        <w:t xml:space="preserve"> </w:t>
      </w:r>
      <w:r w:rsidR="00F6488B" w:rsidRPr="00F27195">
        <w:rPr>
          <w:rFonts w:ascii="TimesTen-Roman" w:hAnsi="TimesTen-Roman" w:cs="TimesTen-Roman"/>
          <w:color w:val="131413"/>
        </w:rPr>
        <w:t xml:space="preserve">a panel error correction model, </w:t>
      </w:r>
      <w:r w:rsidRPr="00F27195">
        <w:rPr>
          <w:rFonts w:ascii="TimesTen-Roman" w:hAnsi="TimesTen-Roman" w:cs="TimesTen-Roman"/>
          <w:color w:val="000000" w:themeColor="text1"/>
        </w:rPr>
        <w:t xml:space="preserve">provide </w:t>
      </w:r>
      <w:r w:rsidR="00D92867" w:rsidRPr="00F27195">
        <w:rPr>
          <w:rFonts w:ascii="TimesTen-Roman" w:hAnsi="TimesTen-Roman" w:cs="TimesTen-Roman"/>
          <w:color w:val="000000" w:themeColor="text1"/>
        </w:rPr>
        <w:t xml:space="preserve">also </w:t>
      </w:r>
      <w:r w:rsidRPr="00F27195">
        <w:rPr>
          <w:rFonts w:ascii="TimesTen-Roman" w:hAnsi="TimesTen-Roman" w:cs="TimesTen-Roman"/>
          <w:color w:val="000000" w:themeColor="text1"/>
        </w:rPr>
        <w:t>evidence that an increases in the expected retirement durations</w:t>
      </w:r>
      <w:r w:rsidRPr="007A7401">
        <w:rPr>
          <w:rFonts w:ascii="TimesTen-Roman" w:hAnsi="TimesTen-Roman" w:cs="TimesTen-Roman"/>
          <w:color w:val="000000" w:themeColor="text1"/>
        </w:rPr>
        <w:t xml:space="preserve"> and</w:t>
      </w:r>
      <w:r w:rsidR="007A7401" w:rsidRPr="007A7401">
        <w:rPr>
          <w:rFonts w:ascii="TimesTen-Roman" w:hAnsi="TimesTen-Roman" w:cs="TimesTen-Roman"/>
          <w:color w:val="000000" w:themeColor="text1"/>
        </w:rPr>
        <w:t xml:space="preserve"> </w:t>
      </w:r>
      <w:r w:rsidRPr="007A7401">
        <w:rPr>
          <w:rFonts w:ascii="TimesTen-Roman" w:hAnsi="TimesTen-Roman" w:cs="TimesTen-Roman"/>
          <w:color w:val="000000" w:themeColor="text1"/>
        </w:rPr>
        <w:t>old-age dependency ratios as well as declines in labour force growth rates have</w:t>
      </w:r>
      <w:r w:rsidR="007A7401" w:rsidRPr="007A7401">
        <w:rPr>
          <w:rFonts w:ascii="TimesTen-Roman" w:hAnsi="TimesTen-Roman" w:cs="TimesTen-Roman"/>
          <w:color w:val="000000" w:themeColor="text1"/>
        </w:rPr>
        <w:t xml:space="preserve"> </w:t>
      </w:r>
      <w:r w:rsidRPr="007A7401">
        <w:rPr>
          <w:rFonts w:ascii="TimesTen-Roman" w:hAnsi="TimesTen-Roman" w:cs="TimesTen-Roman"/>
          <w:color w:val="000000" w:themeColor="text1"/>
        </w:rPr>
        <w:t>indeed been major forces behind the decline in labour shares that took place in</w:t>
      </w:r>
      <w:r w:rsidR="007A7401" w:rsidRPr="007A7401">
        <w:rPr>
          <w:rFonts w:ascii="TimesTen-Roman" w:hAnsi="TimesTen-Roman" w:cs="TimesTen-Roman"/>
          <w:color w:val="000000" w:themeColor="text1"/>
        </w:rPr>
        <w:t xml:space="preserve"> </w:t>
      </w:r>
      <w:r w:rsidRPr="007A7401">
        <w:rPr>
          <w:rFonts w:ascii="TimesTen-Roman" w:hAnsi="TimesTen-Roman" w:cs="TimesTen-Roman"/>
          <w:color w:val="000000" w:themeColor="text1"/>
        </w:rPr>
        <w:t>many countries</w:t>
      </w:r>
      <w:r w:rsidR="00F6488B">
        <w:rPr>
          <w:rFonts w:ascii="TimesTen-Roman" w:hAnsi="TimesTen-Roman" w:cs="TimesTen-Roman"/>
          <w:color w:val="000000" w:themeColor="text1"/>
        </w:rPr>
        <w:t>, especially in open economies</w:t>
      </w:r>
      <w:r w:rsidR="00D92867">
        <w:rPr>
          <w:rFonts w:ascii="TimesTen-Roman" w:hAnsi="TimesTen-Roman" w:cs="TimesTen-Roman"/>
          <w:color w:val="000000" w:themeColor="text1"/>
        </w:rPr>
        <w:t xml:space="preserve"> </w:t>
      </w:r>
      <w:r w:rsidR="00D92867">
        <w:t>(</w:t>
      </w:r>
      <w:r w:rsidR="00D92867" w:rsidRPr="002965B3">
        <w:t>Schmidt, Vosen, 2013</w:t>
      </w:r>
      <w:r w:rsidR="00D92867">
        <w:t>, p. 357</w:t>
      </w:r>
      <w:r w:rsidR="00F6488B">
        <w:t>-361</w:t>
      </w:r>
      <w:r w:rsidR="00D92867">
        <w:t>)</w:t>
      </w:r>
      <w:r w:rsidRPr="007A7401">
        <w:rPr>
          <w:rFonts w:ascii="TimesTen-Roman" w:hAnsi="TimesTen-Roman" w:cs="TimesTen-Roman"/>
          <w:color w:val="000000" w:themeColor="text1"/>
        </w:rPr>
        <w:t>.</w:t>
      </w:r>
    </w:p>
    <w:p w:rsidR="0064207D" w:rsidRDefault="00F27195" w:rsidP="00C3271D">
      <w:pPr>
        <w:spacing w:after="0"/>
        <w:ind w:firstLine="284"/>
        <w:rPr>
          <w:bCs/>
        </w:rPr>
      </w:pPr>
      <w:r w:rsidRPr="00F27195">
        <w:rPr>
          <w:rFonts w:cs="Times New Roman"/>
        </w:rPr>
        <w:t>T</w:t>
      </w:r>
      <w:r w:rsidR="000E51F6" w:rsidRPr="00F27195">
        <w:rPr>
          <w:rFonts w:cs="Times New Roman"/>
        </w:rPr>
        <w:t xml:space="preserve">he findings </w:t>
      </w:r>
      <w:r w:rsidRPr="00F27195">
        <w:rPr>
          <w:rFonts w:cs="Times New Roman"/>
        </w:rPr>
        <w:t xml:space="preserve">of J. Hutchinson and D. Persyn </w:t>
      </w:r>
      <w:r w:rsidR="000E51F6" w:rsidRPr="00F27195">
        <w:rPr>
          <w:rFonts w:cs="Times New Roman"/>
        </w:rPr>
        <w:t xml:space="preserve">suggest that lower trade costs and factors often associated with economic integration such as international low-wage competition and industry concentration have contributed to the decline in the labour </w:t>
      </w:r>
      <w:r w:rsidRPr="00F27195">
        <w:rPr>
          <w:rFonts w:cs="Times New Roman"/>
        </w:rPr>
        <w:t>share (Hutchinson, Persyn, 2012, p</w:t>
      </w:r>
      <w:proofErr w:type="gramStart"/>
      <w:r w:rsidRPr="00F27195">
        <w:rPr>
          <w:rFonts w:cs="Times New Roman"/>
        </w:rPr>
        <w:t>. 17).</w:t>
      </w:r>
      <w:r>
        <w:rPr>
          <w:rFonts w:cs="Times New Roman"/>
        </w:rPr>
        <w:t xml:space="preserve"> One</w:t>
      </w:r>
      <w:proofErr w:type="gramEnd"/>
      <w:r>
        <w:rPr>
          <w:rFonts w:cs="Times New Roman"/>
        </w:rPr>
        <w:t xml:space="preserve"> of the recent study conducted by A. </w:t>
      </w:r>
      <w:r w:rsidRPr="006B1994">
        <w:rPr>
          <w:rFonts w:cs="Times New Roman"/>
        </w:rPr>
        <w:t>Bassanini</w:t>
      </w:r>
      <w:r>
        <w:rPr>
          <w:rFonts w:cs="Times New Roman"/>
        </w:rPr>
        <w:t xml:space="preserve"> and T. </w:t>
      </w:r>
      <w:r w:rsidRPr="006B1994">
        <w:rPr>
          <w:rFonts w:cs="Times New Roman"/>
        </w:rPr>
        <w:t>Manfredi</w:t>
      </w:r>
      <w:r>
        <w:rPr>
          <w:rFonts w:cs="Times New Roman"/>
        </w:rPr>
        <w:t xml:space="preserve"> </w:t>
      </w:r>
      <w:r>
        <w:rPr>
          <w:rFonts w:cs="Times New Roman"/>
          <w:sz w:val="22"/>
          <w:szCs w:val="22"/>
        </w:rPr>
        <w:t>for 25 OECD countries, 20 business-sector industries and covering up to 28 years</w:t>
      </w:r>
      <w:r w:rsidR="00B0565F">
        <w:rPr>
          <w:rFonts w:cs="Times New Roman"/>
          <w:sz w:val="22"/>
          <w:szCs w:val="22"/>
        </w:rPr>
        <w:t>,</w:t>
      </w:r>
      <w:r>
        <w:rPr>
          <w:rFonts w:cs="Times New Roman"/>
          <w:sz w:val="22"/>
          <w:szCs w:val="22"/>
        </w:rPr>
        <w:t xml:space="preserve"> indicated that </w:t>
      </w:r>
      <w:r w:rsidRPr="00F27195">
        <w:rPr>
          <w:rFonts w:cs="Times New Roman"/>
        </w:rPr>
        <w:t xml:space="preserve">total factor productivity </w:t>
      </w:r>
      <w:r w:rsidRPr="00F27195">
        <w:rPr>
          <w:rFonts w:cs="Times New Roman"/>
        </w:rPr>
        <w:lastRenderedPageBreak/>
        <w:t xml:space="preserve">growth and capital deepening jointly account for as much as 80% of the within-industry contraction of the labour share. They also foud that other important factors are privatisation of stateowned enterprises and the increase in international competition as well as off-shoring of intermediate stages of the production proces </w:t>
      </w:r>
      <w:r w:rsidR="000E51F6" w:rsidRPr="00F27195">
        <w:rPr>
          <w:rFonts w:cs="Times New Roman"/>
        </w:rPr>
        <w:t>(Bassanini, Manfredi, 2012</w:t>
      </w:r>
      <w:r w:rsidR="00653DC1">
        <w:rPr>
          <w:rFonts w:cs="Times New Roman"/>
        </w:rPr>
        <w:t>, p</w:t>
      </w:r>
      <w:proofErr w:type="gramStart"/>
      <w:r w:rsidR="00653DC1">
        <w:rPr>
          <w:rFonts w:cs="Times New Roman"/>
        </w:rPr>
        <w:t>. 32-34</w:t>
      </w:r>
      <w:r w:rsidR="000E51F6" w:rsidRPr="00F27195">
        <w:rPr>
          <w:rFonts w:cs="Times New Roman"/>
        </w:rPr>
        <w:t>)</w:t>
      </w:r>
      <w:r w:rsidRPr="00F27195">
        <w:rPr>
          <w:rFonts w:cs="Times New Roman"/>
        </w:rPr>
        <w:t>.</w:t>
      </w:r>
      <w:r w:rsidR="00B0565F">
        <w:rPr>
          <w:rFonts w:cs="Times New Roman"/>
        </w:rPr>
        <w:t xml:space="preserve"> According</w:t>
      </w:r>
      <w:proofErr w:type="gramEnd"/>
      <w:r w:rsidR="00B0565F">
        <w:rPr>
          <w:rFonts w:cs="Times New Roman"/>
        </w:rPr>
        <w:t xml:space="preserve"> to P. Sweeney t</w:t>
      </w:r>
      <w:r w:rsidR="0064207D" w:rsidRPr="00B0565F">
        <w:rPr>
          <w:rFonts w:cs="Times New Roman"/>
        </w:rPr>
        <w:t xml:space="preserve">he decline in labour’s share </w:t>
      </w:r>
      <w:r w:rsidR="00B0565F">
        <w:rPr>
          <w:rFonts w:cs="Times New Roman"/>
        </w:rPr>
        <w:t xml:space="preserve">in GDP </w:t>
      </w:r>
      <w:r w:rsidR="0064207D" w:rsidRPr="00B0565F">
        <w:rPr>
          <w:rFonts w:cs="Times New Roman"/>
        </w:rPr>
        <w:t>has contributed to increased inequality in the distribution of national income</w:t>
      </w:r>
      <w:r w:rsidR="00653DC1">
        <w:rPr>
          <w:rFonts w:cs="Times New Roman"/>
        </w:rPr>
        <w:t>. He also pointed out main reasons of</w:t>
      </w:r>
      <w:r w:rsidR="00653DC1" w:rsidRPr="00653DC1">
        <w:rPr>
          <w:rFonts w:cs="Times New Roman"/>
        </w:rPr>
        <w:t xml:space="preserve"> </w:t>
      </w:r>
      <w:r w:rsidR="00653DC1">
        <w:rPr>
          <w:rFonts w:cs="Times New Roman"/>
        </w:rPr>
        <w:t xml:space="preserve">this phenomenon: </w:t>
      </w:r>
      <w:r w:rsidR="00653DC1" w:rsidRPr="00653DC1">
        <w:rPr>
          <w:rFonts w:cs="Times New Roman"/>
        </w:rPr>
        <w:t>technology</w:t>
      </w:r>
      <w:r w:rsidR="00653DC1">
        <w:rPr>
          <w:rFonts w:cs="Times New Roman"/>
        </w:rPr>
        <w:t xml:space="preserve"> and</w:t>
      </w:r>
      <w:r w:rsidR="00653DC1" w:rsidRPr="00653DC1">
        <w:rPr>
          <w:rFonts w:cs="Times New Roman"/>
        </w:rPr>
        <w:t xml:space="preserve"> policy changes, globalization, </w:t>
      </w:r>
      <w:r w:rsidR="00653DC1">
        <w:rPr>
          <w:rFonts w:cs="Times New Roman"/>
        </w:rPr>
        <w:t>i</w:t>
      </w:r>
      <w:r w:rsidR="00653DC1" w:rsidRPr="00653DC1">
        <w:rPr>
          <w:rFonts w:cs="Times New Roman"/>
        </w:rPr>
        <w:t xml:space="preserve">ncreased </w:t>
      </w:r>
      <w:r w:rsidR="00653DC1">
        <w:rPr>
          <w:rFonts w:cs="Times New Roman"/>
        </w:rPr>
        <w:t>domestic and international c</w:t>
      </w:r>
      <w:r w:rsidR="00653DC1" w:rsidRPr="00653DC1">
        <w:rPr>
          <w:rFonts w:cs="Times New Roman"/>
        </w:rPr>
        <w:t xml:space="preserve">ompetition, </w:t>
      </w:r>
      <w:r w:rsidR="00653DC1">
        <w:rPr>
          <w:rFonts w:cs="Times New Roman"/>
        </w:rPr>
        <w:t>growing</w:t>
      </w:r>
      <w:r w:rsidR="00653DC1" w:rsidRPr="00653DC1">
        <w:rPr>
          <w:rFonts w:cs="Times New Roman"/>
        </w:rPr>
        <w:t xml:space="preserve"> </w:t>
      </w:r>
      <w:r w:rsidR="00653DC1">
        <w:rPr>
          <w:rFonts w:cs="Times New Roman"/>
        </w:rPr>
        <w:t>f</w:t>
      </w:r>
      <w:r w:rsidR="00653DC1" w:rsidRPr="00653DC1">
        <w:rPr>
          <w:rFonts w:cs="Times New Roman"/>
        </w:rPr>
        <w:t>inancialisation</w:t>
      </w:r>
      <w:r w:rsidR="00653DC1">
        <w:rPr>
          <w:rFonts w:cs="Times New Roman"/>
        </w:rPr>
        <w:t xml:space="preserve"> </w:t>
      </w:r>
      <w:r w:rsidR="00653DC1" w:rsidRPr="00653DC1">
        <w:rPr>
          <w:rFonts w:cs="Times New Roman"/>
        </w:rPr>
        <w:t xml:space="preserve">and </w:t>
      </w:r>
      <w:r w:rsidR="00653DC1">
        <w:rPr>
          <w:rFonts w:cs="Times New Roman"/>
        </w:rPr>
        <w:t>s</w:t>
      </w:r>
      <w:r w:rsidR="00653DC1" w:rsidRPr="00653DC1">
        <w:rPr>
          <w:rFonts w:cs="Times New Roman"/>
        </w:rPr>
        <w:t xml:space="preserve">ectoral </w:t>
      </w:r>
      <w:r w:rsidR="00653DC1">
        <w:rPr>
          <w:rFonts w:cs="Times New Roman"/>
        </w:rPr>
        <w:t>s</w:t>
      </w:r>
      <w:r w:rsidR="00653DC1" w:rsidRPr="00653DC1">
        <w:rPr>
          <w:rFonts w:cs="Times New Roman"/>
        </w:rPr>
        <w:t xml:space="preserve">hifts in </w:t>
      </w:r>
      <w:r w:rsidR="00653DC1">
        <w:rPr>
          <w:rFonts w:cs="Times New Roman"/>
        </w:rPr>
        <w:t>employment</w:t>
      </w:r>
      <w:r w:rsidR="00653DC1" w:rsidRPr="00653DC1">
        <w:rPr>
          <w:rFonts w:cs="Times New Roman"/>
        </w:rPr>
        <w:t xml:space="preserve"> </w:t>
      </w:r>
      <w:r w:rsidR="00653DC1" w:rsidRPr="00B0565F">
        <w:rPr>
          <w:rFonts w:cs="Times New Roman"/>
        </w:rPr>
        <w:t>(Sweeney, 2012-13</w:t>
      </w:r>
      <w:r w:rsidR="00653DC1">
        <w:rPr>
          <w:rFonts w:cs="Times New Roman"/>
        </w:rPr>
        <w:t xml:space="preserve">). Other authors underline the impact of labour regulation </w:t>
      </w:r>
      <w:r w:rsidR="0064207D">
        <w:rPr>
          <w:bCs/>
        </w:rPr>
        <w:t>(</w:t>
      </w:r>
      <w:r w:rsidR="0064207D" w:rsidRPr="008308DF">
        <w:rPr>
          <w:bCs/>
        </w:rPr>
        <w:t>Deakin, Malmberg, Sarkar</w:t>
      </w:r>
      <w:r w:rsidR="00653DC1">
        <w:rPr>
          <w:bCs/>
        </w:rPr>
        <w:t>, 2014)</w:t>
      </w:r>
      <w:r w:rsidR="00A64590">
        <w:rPr>
          <w:bCs/>
        </w:rPr>
        <w:t xml:space="preserve"> </w:t>
      </w:r>
      <w:r w:rsidR="00A64590" w:rsidRPr="00A64590">
        <w:rPr>
          <w:rFonts w:cs="Times New Roman"/>
        </w:rPr>
        <w:t>or ageing (Schmidt, Vosen, 2013</w:t>
      </w:r>
      <w:r w:rsidR="00A64590">
        <w:rPr>
          <w:rFonts w:cs="Times New Roman"/>
        </w:rPr>
        <w:t>, p. 376) on the labour share in national income.</w:t>
      </w:r>
    </w:p>
    <w:p w:rsidR="00FB21F1" w:rsidRDefault="00224E3E" w:rsidP="00C3271D">
      <w:pPr>
        <w:spacing w:after="0"/>
        <w:ind w:firstLine="284"/>
      </w:pPr>
      <w:r>
        <w:t>In the European Union we observed a decline in the sh</w:t>
      </w:r>
      <w:r w:rsidRPr="00A57B86">
        <w:t>are of total labour compensation in GDP</w:t>
      </w:r>
      <w:r>
        <w:t xml:space="preserve"> </w:t>
      </w:r>
      <w:r w:rsidR="00DC4C3D">
        <w:t xml:space="preserve">since 1994 </w:t>
      </w:r>
      <w:r>
        <w:t>untill 2007</w:t>
      </w:r>
      <w:r w:rsidR="00FB21F1">
        <w:rPr>
          <w:rStyle w:val="Odwoanieprzypisudolnego"/>
        </w:rPr>
        <w:footnoteReference w:id="4"/>
      </w:r>
      <w:r w:rsidR="00DC4C3D">
        <w:t xml:space="preserve"> (from 62% to almost 60%)</w:t>
      </w:r>
      <w:r>
        <w:t xml:space="preserve">. Due to economic crisis there was a turning point in </w:t>
      </w:r>
      <w:r w:rsidR="00FB21F1">
        <w:t>2008-2009</w:t>
      </w:r>
      <w:r>
        <w:t xml:space="preserve"> </w:t>
      </w:r>
      <w:r w:rsidR="00DC4C3D">
        <w:t>(increase till 63</w:t>
      </w:r>
      <w:r w:rsidR="007055B9">
        <w:t>.</w:t>
      </w:r>
      <w:r w:rsidR="00DC4C3D">
        <w:t xml:space="preserve">6%) </w:t>
      </w:r>
      <w:proofErr w:type="gramStart"/>
      <w:r>
        <w:t>and</w:t>
      </w:r>
      <w:proofErr w:type="gramEnd"/>
      <w:r>
        <w:t xml:space="preserve"> </w:t>
      </w:r>
      <w:r w:rsidR="00DC4C3D">
        <w:t xml:space="preserve">redirect reduction in next four years up to the level of 1994. The highest level </w:t>
      </w:r>
      <w:r w:rsidR="007055B9">
        <w:t>of this share was indicated for</w:t>
      </w:r>
      <w:r w:rsidR="00DC4C3D">
        <w:t xml:space="preserve"> Slovenia </w:t>
      </w:r>
      <w:r w:rsidR="00FB21F1">
        <w:t>(</w:t>
      </w:r>
      <w:r w:rsidR="00DC4C3D">
        <w:t>84</w:t>
      </w:r>
      <w:r w:rsidR="00B77C04">
        <w:t>.0</w:t>
      </w:r>
      <w:r w:rsidR="00DC4C3D">
        <w:t xml:space="preserve">% </w:t>
      </w:r>
      <w:proofErr w:type="gramStart"/>
      <w:r w:rsidR="00DC4C3D">
        <w:t>in</w:t>
      </w:r>
      <w:proofErr w:type="gramEnd"/>
      <w:r w:rsidR="00DC4C3D">
        <w:t xml:space="preserve"> 1</w:t>
      </w:r>
      <w:r w:rsidR="00FB21F1">
        <w:t xml:space="preserve">994 </w:t>
      </w:r>
      <w:r w:rsidR="00DC4C3D">
        <w:t xml:space="preserve">and </w:t>
      </w:r>
      <w:r w:rsidR="007055B9">
        <w:t xml:space="preserve">71.8% </w:t>
      </w:r>
      <w:proofErr w:type="gramStart"/>
      <w:r w:rsidR="007055B9">
        <w:t>in</w:t>
      </w:r>
      <w:proofErr w:type="gramEnd"/>
      <w:r w:rsidR="007055B9">
        <w:t xml:space="preserve"> 2014), while the lowest was noticed for </w:t>
      </w:r>
      <w:r w:rsidR="00FB21F1">
        <w:t>S</w:t>
      </w:r>
      <w:r w:rsidR="007055B9">
        <w:t>lovakia (37.</w:t>
      </w:r>
      <w:r w:rsidR="00FB21F1">
        <w:t>4%</w:t>
      </w:r>
      <w:r w:rsidR="007055B9">
        <w:t xml:space="preserve"> </w:t>
      </w:r>
      <w:proofErr w:type="gramStart"/>
      <w:r w:rsidR="007055B9">
        <w:t>in</w:t>
      </w:r>
      <w:proofErr w:type="gramEnd"/>
      <w:r w:rsidR="007055B9">
        <w:t xml:space="preserve"> 1994 and 39.4% in</w:t>
      </w:r>
      <w:proofErr w:type="gramStart"/>
      <w:r w:rsidR="007055B9">
        <w:t xml:space="preserve"> 2014</w:t>
      </w:r>
      <w:r w:rsidR="00FB21F1">
        <w:t>)</w:t>
      </w:r>
      <w:r w:rsidR="007055B9">
        <w:t>. There</w:t>
      </w:r>
      <w:proofErr w:type="gramEnd"/>
      <w:r w:rsidR="007055B9">
        <w:t xml:space="preserve"> were also strong differences in changes of labour shares among European countries (see Figure 1).</w:t>
      </w:r>
    </w:p>
    <w:p w:rsidR="00FB21F1" w:rsidRDefault="00E36122" w:rsidP="007055B9">
      <w:pPr>
        <w:jc w:val="center"/>
      </w:pPr>
      <w:r>
        <w:rPr>
          <w:noProof/>
          <w:lang w:eastAsia="pl-PL"/>
        </w:rPr>
        <w:drawing>
          <wp:inline distT="0" distB="0" distL="0" distR="0" wp14:anchorId="7AB85B72" wp14:editId="6B0E03A5">
            <wp:extent cx="4572000" cy="252412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21F1" w:rsidRPr="00A57B86" w:rsidRDefault="00FB21F1" w:rsidP="005A29A8">
      <w:pPr>
        <w:spacing w:line="240" w:lineRule="auto"/>
      </w:pPr>
      <w:r w:rsidRPr="00A57B86">
        <w:t xml:space="preserve">Fig. </w:t>
      </w:r>
      <w:r w:rsidR="007055B9">
        <w:t>1</w:t>
      </w:r>
      <w:r w:rsidRPr="00A57B86">
        <w:rPr>
          <w:color w:val="000000" w:themeColor="text1"/>
        </w:rPr>
        <w:t xml:space="preserve">. </w:t>
      </w:r>
      <w:r w:rsidRPr="00A57B86">
        <w:t>Share of total labour compensation in GDP in the EU in 199</w:t>
      </w:r>
      <w:r>
        <w:t>4</w:t>
      </w:r>
      <w:r w:rsidRPr="00A57B86">
        <w:t>-2014 (in %)</w:t>
      </w:r>
    </w:p>
    <w:p w:rsidR="00FB21F1" w:rsidRPr="005A29A8" w:rsidRDefault="005A29A8" w:rsidP="005A29A8">
      <w:pPr>
        <w:spacing w:line="240" w:lineRule="auto"/>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45356F" w:rsidRDefault="0045356F" w:rsidP="0045356F">
      <w:pPr>
        <w:rPr>
          <w:rFonts w:cs="Times New Roman"/>
        </w:rPr>
      </w:pPr>
    </w:p>
    <w:p w:rsidR="0064207D" w:rsidRDefault="000E36A8" w:rsidP="00BC628D">
      <w:pPr>
        <w:ind w:firstLine="284"/>
        <w:rPr>
          <w:lang w:val="en-GB"/>
        </w:rPr>
      </w:pPr>
      <w:r>
        <w:rPr>
          <w:rFonts w:cs="Times New Roman"/>
        </w:rPr>
        <w:lastRenderedPageBreak/>
        <w:t xml:space="preserve">Although, the proportion of </w:t>
      </w:r>
      <w:r w:rsidRPr="000E51F6">
        <w:rPr>
          <w:rFonts w:cs="Times New Roman"/>
        </w:rPr>
        <w:t>labo</w:t>
      </w:r>
      <w:r>
        <w:rPr>
          <w:rFonts w:cs="Times New Roman"/>
        </w:rPr>
        <w:t>u</w:t>
      </w:r>
      <w:r w:rsidRPr="000E51F6">
        <w:rPr>
          <w:rFonts w:cs="Times New Roman"/>
        </w:rPr>
        <w:t xml:space="preserve">r in national income </w:t>
      </w:r>
      <w:r>
        <w:rPr>
          <w:rFonts w:cs="Times New Roman"/>
        </w:rPr>
        <w:t xml:space="preserve">is quite significant for the economic dynamics, the crucial role in economic development is played by labour productivity. </w:t>
      </w:r>
      <w:r w:rsidR="00656B91" w:rsidRPr="00656B91">
        <w:rPr>
          <w:rFonts w:ascii="TimesTen-Roman" w:hAnsi="TimesTen-Roman" w:cs="TimesTen-Roman"/>
          <w:color w:val="000000" w:themeColor="text1"/>
        </w:rPr>
        <w:t>S</w:t>
      </w:r>
      <w:r w:rsidR="00656B91" w:rsidRPr="00656B91">
        <w:rPr>
          <w:rFonts w:ascii="TimesTen-Roman" w:hAnsi="TimesTen-Roman" w:cs="TimesTen-Roman"/>
          <w:color w:val="000000" w:themeColor="text1"/>
        </w:rPr>
        <w:t xml:space="preserve">lowdown in productivity growth caused </w:t>
      </w:r>
      <w:r w:rsidR="00656B91" w:rsidRPr="00656B91">
        <w:rPr>
          <w:rFonts w:ascii="TimesTen-Roman" w:hAnsi="TimesTen-Roman" w:cs="TimesTen-Roman"/>
          <w:color w:val="000000" w:themeColor="text1"/>
        </w:rPr>
        <w:t xml:space="preserve">mainly </w:t>
      </w:r>
      <w:r w:rsidR="00656B91" w:rsidRPr="00656B91">
        <w:rPr>
          <w:rFonts w:ascii="TimesTen-Roman" w:hAnsi="TimesTen-Roman" w:cs="TimesTen-Roman"/>
          <w:color w:val="000000" w:themeColor="text1"/>
        </w:rPr>
        <w:t>by supply shocks, lead</w:t>
      </w:r>
      <w:r w:rsidR="00656B91">
        <w:rPr>
          <w:rFonts w:ascii="TimesTen-Roman" w:hAnsi="TimesTen-Roman" w:cs="TimesTen-Roman"/>
          <w:color w:val="000000" w:themeColor="text1"/>
        </w:rPr>
        <w:t>s</w:t>
      </w:r>
      <w:r w:rsidR="00656B91" w:rsidRPr="00656B91">
        <w:rPr>
          <w:rFonts w:ascii="TimesTen-Roman" w:hAnsi="TimesTen-Roman" w:cs="TimesTen-Roman"/>
          <w:color w:val="000000" w:themeColor="text1"/>
        </w:rPr>
        <w:t xml:space="preserve"> to the rise in labour shares</w:t>
      </w:r>
      <w:r w:rsidR="00656B91" w:rsidRPr="00656B91">
        <w:rPr>
          <w:rFonts w:ascii="TimesTen-Roman" w:hAnsi="TimesTen-Roman" w:cs="TimesTen-Roman"/>
          <w:color w:val="000000" w:themeColor="text1"/>
        </w:rPr>
        <w:t>, while t</w:t>
      </w:r>
      <w:r w:rsidR="00656B91" w:rsidRPr="00656B91">
        <w:rPr>
          <w:rFonts w:ascii="TimesTen-Roman" w:hAnsi="TimesTen-Roman" w:cs="TimesTen-Roman"/>
          <w:color w:val="000000" w:themeColor="text1"/>
        </w:rPr>
        <w:t>he recovery of profit shares is by many authors interpreted as a result of the reaction of firms who increased profit shares by reducing labour demand and through a shift to more capital-intensive production techniques</w:t>
      </w:r>
      <w:r w:rsidR="00656B91" w:rsidRPr="00656B91">
        <w:rPr>
          <w:rFonts w:ascii="TimesTen-Roman" w:hAnsi="TimesTen-Roman" w:cs="TimesTen-Roman"/>
          <w:color w:val="000000" w:themeColor="text1"/>
        </w:rPr>
        <w:t xml:space="preserve"> </w:t>
      </w:r>
      <w:r w:rsidR="0064207D" w:rsidRPr="00656B91">
        <w:rPr>
          <w:color w:val="000000" w:themeColor="text1"/>
        </w:rPr>
        <w:t>(Schmidt, Vosen, 2013</w:t>
      </w:r>
      <w:r w:rsidR="00656B91" w:rsidRPr="00656B91">
        <w:rPr>
          <w:color w:val="000000" w:themeColor="text1"/>
        </w:rPr>
        <w:t>, p</w:t>
      </w:r>
      <w:proofErr w:type="gramStart"/>
      <w:r w:rsidR="00656B91" w:rsidRPr="00656B91">
        <w:rPr>
          <w:color w:val="000000" w:themeColor="text1"/>
        </w:rPr>
        <w:t>. 358).</w:t>
      </w:r>
      <w:r w:rsidR="00656B91">
        <w:rPr>
          <w:color w:val="000000" w:themeColor="text1"/>
        </w:rPr>
        <w:t xml:space="preserve"> There</w:t>
      </w:r>
      <w:proofErr w:type="gramEnd"/>
      <w:r w:rsidR="00656B91">
        <w:rPr>
          <w:color w:val="000000" w:themeColor="text1"/>
        </w:rPr>
        <w:t xml:space="preserve"> is a strong literature concerning basic factors that influence labour productivity</w:t>
      </w:r>
      <w:r w:rsidR="00BC628D">
        <w:rPr>
          <w:rStyle w:val="Odwoanieprzypisudolnego"/>
          <w:lang w:val="en-GB"/>
        </w:rPr>
        <w:footnoteReference w:id="5"/>
      </w:r>
      <w:r w:rsidR="00656B91">
        <w:rPr>
          <w:color w:val="000000" w:themeColor="text1"/>
        </w:rPr>
        <w:t xml:space="preserve">. Some authors </w:t>
      </w:r>
      <w:r w:rsidR="00656B91">
        <w:rPr>
          <w:lang w:val="en-GB"/>
        </w:rPr>
        <w:t xml:space="preserve">suggest that policies that promote investment, economic </w:t>
      </w:r>
      <w:r w:rsidR="00656B91">
        <w:rPr>
          <w:lang w:val="en-GB"/>
        </w:rPr>
        <w:t>integration</w:t>
      </w:r>
      <w:r w:rsidR="00656B91">
        <w:rPr>
          <w:lang w:val="en-GB"/>
        </w:rPr>
        <w:t xml:space="preserve"> and international competitiveness improve short-run labour productivity</w:t>
      </w:r>
      <w:r w:rsidR="00656B91">
        <w:rPr>
          <w:lang w:val="en-GB"/>
        </w:rPr>
        <w:t>, while i</w:t>
      </w:r>
      <w:r w:rsidR="00656B91">
        <w:rPr>
          <w:lang w:val="en-GB"/>
        </w:rPr>
        <w:t>n the long run, fixed capital accumulation is the dominant sour</w:t>
      </w:r>
      <w:r w:rsidR="00656B91">
        <w:rPr>
          <w:lang w:val="en-GB"/>
        </w:rPr>
        <w:t xml:space="preserve">ce of productivity improvements (Madden, Savage, 1998). Other researchers underline that in countries with high level of labour costs and labour protection </w:t>
      </w:r>
      <w:r w:rsidR="00BC628D">
        <w:rPr>
          <w:lang w:val="en-GB"/>
        </w:rPr>
        <w:t xml:space="preserve">we can observe economic growth driven by labour productivity than rise in the level of employment </w:t>
      </w:r>
      <w:r w:rsidR="0064207D">
        <w:rPr>
          <w:lang w:val="en-GB"/>
        </w:rPr>
        <w:t xml:space="preserve">(Czyżewski, Łapińska-Sobczak, 2001, </w:t>
      </w:r>
      <w:r w:rsidR="00BC628D">
        <w:rPr>
          <w:lang w:val="en-GB"/>
        </w:rPr>
        <w:t>p. 530; Batóg, Batóg, 200</w:t>
      </w:r>
      <w:r w:rsidR="001D3B5A">
        <w:rPr>
          <w:lang w:val="en-GB"/>
        </w:rPr>
        <w:t>7</w:t>
      </w:r>
      <w:r w:rsidR="00BC628D">
        <w:rPr>
          <w:lang w:val="en-GB"/>
        </w:rPr>
        <w:t>).</w:t>
      </w:r>
    </w:p>
    <w:p w:rsidR="0064207D" w:rsidRDefault="00D20050" w:rsidP="00D20050">
      <w:pPr>
        <w:ind w:firstLine="284"/>
      </w:pPr>
      <w:r>
        <w:t xml:space="preserve">In 1994-2007 </w:t>
      </w:r>
      <w:r w:rsidR="002831A5">
        <w:t>labour productivity in the European Union was rising in a very stable way, but this development path was stopped sli</w:t>
      </w:r>
      <w:r w:rsidR="0045356F">
        <w:t>g</w:t>
      </w:r>
      <w:r w:rsidR="002831A5">
        <w:t xml:space="preserve">htly by last economic slowdown </w:t>
      </w:r>
      <w:r w:rsidR="002831A5">
        <w:t>(see Figure 2).</w:t>
      </w:r>
      <w:r w:rsidR="002831A5">
        <w:t xml:space="preserve"> At the begining as well as at the end of this period the higest level of labour productivity </w:t>
      </w:r>
      <w:r w:rsidR="0045356F" w:rsidRPr="0045356F">
        <w:t>per person employed</w:t>
      </w:r>
      <w:r w:rsidR="0045356F">
        <w:t xml:space="preserve"> was observed for Luxembourg, while the lowest characterized Romania.</w:t>
      </w:r>
    </w:p>
    <w:p w:rsidR="003E2C20" w:rsidRDefault="00E36122" w:rsidP="0045356F">
      <w:pPr>
        <w:jc w:val="center"/>
      </w:pPr>
      <w:r>
        <w:rPr>
          <w:noProof/>
          <w:lang w:eastAsia="pl-PL"/>
        </w:rPr>
        <w:drawing>
          <wp:inline distT="0" distB="0" distL="0" distR="0" wp14:anchorId="36C1806A" wp14:editId="1219716C">
            <wp:extent cx="4572000" cy="23622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356F" w:rsidRDefault="0045356F" w:rsidP="0045356F">
      <w:pPr>
        <w:spacing w:line="240" w:lineRule="auto"/>
        <w:ind w:left="709" w:hanging="709"/>
        <w:rPr>
          <w:lang w:val="en-US"/>
        </w:rPr>
      </w:pPr>
      <w:r w:rsidRPr="00A57B86">
        <w:t xml:space="preserve">Fig. </w:t>
      </w:r>
      <w:r>
        <w:t>2</w:t>
      </w:r>
      <w:r w:rsidRPr="00A57B86">
        <w:rPr>
          <w:color w:val="000000" w:themeColor="text1"/>
        </w:rPr>
        <w:t xml:space="preserve">. </w:t>
      </w:r>
      <w:r w:rsidRPr="00A57B86">
        <w:t>Labour productivity per p</w:t>
      </w:r>
      <w:r>
        <w:t>erson employed in the EU in 1994</w:t>
      </w:r>
      <w:r w:rsidRPr="00A57B86">
        <w:t>-2014</w:t>
      </w:r>
      <w:r>
        <w:t xml:space="preserve"> </w:t>
      </w:r>
      <w:r w:rsidRPr="00A57B86">
        <w:t>(</w:t>
      </w:r>
      <w:r w:rsidRPr="00A57B86">
        <w:rPr>
          <w:lang w:val="en-US"/>
        </w:rPr>
        <w:t>2014 US$ converted to 2014 price level with updated 2011 PPPs)</w:t>
      </w:r>
    </w:p>
    <w:p w:rsidR="0045356F" w:rsidRPr="005A29A8" w:rsidRDefault="0045356F" w:rsidP="0045356F">
      <w:pPr>
        <w:spacing w:line="240" w:lineRule="auto"/>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BD465E" w:rsidRDefault="00BD465E" w:rsidP="00BD465E">
      <w:pPr>
        <w:spacing w:after="0"/>
      </w:pPr>
    </w:p>
    <w:p w:rsidR="00FB21F1" w:rsidRDefault="00CE380E" w:rsidP="003832B5">
      <w:pPr>
        <w:spacing w:after="0"/>
        <w:ind w:firstLine="284"/>
      </w:pPr>
      <w:r>
        <w:lastRenderedPageBreak/>
        <w:t>For all countries we have noticed rise of productivity</w:t>
      </w:r>
      <w:r>
        <w:t>, but s</w:t>
      </w:r>
      <w:r w:rsidR="0045356F">
        <w:t>imilarily like for labour contribution</w:t>
      </w:r>
      <w:r>
        <w:t>,</w:t>
      </w:r>
      <w:r w:rsidR="0045356F">
        <w:t xml:space="preserve"> strong international differences in dynamics </w:t>
      </w:r>
      <w:r>
        <w:t xml:space="preserve">of </w:t>
      </w:r>
      <w:r>
        <w:t xml:space="preserve">labour productivity </w:t>
      </w:r>
      <w:r w:rsidR="0045356F">
        <w:t>were visible.</w:t>
      </w:r>
      <w:r>
        <w:t xml:space="preserve"> For instance for Luxembourg </w:t>
      </w:r>
      <w:r w:rsidR="00572DBD">
        <w:t xml:space="preserve">and Italy </w:t>
      </w:r>
      <w:r>
        <w:t xml:space="preserve">productivity rose </w:t>
      </w:r>
      <w:r w:rsidR="00572DBD">
        <w:t xml:space="preserve">accordingly </w:t>
      </w:r>
      <w:r>
        <w:t xml:space="preserve">by </w:t>
      </w:r>
      <w:r w:rsidR="00572DBD">
        <w:t xml:space="preserve">1.16% </w:t>
      </w:r>
      <w:proofErr w:type="gramStart"/>
      <w:r w:rsidR="00572DBD">
        <w:t>and</w:t>
      </w:r>
      <w:proofErr w:type="gramEnd"/>
      <w:r w:rsidR="00572DBD">
        <w:t xml:space="preserve"> </w:t>
      </w:r>
      <w:r w:rsidR="00B723F1">
        <w:t>1</w:t>
      </w:r>
      <w:r>
        <w:t>.</w:t>
      </w:r>
      <w:r w:rsidR="00B723F1">
        <w:t>20</w:t>
      </w:r>
      <w:r>
        <w:t xml:space="preserve">%, </w:t>
      </w:r>
      <w:proofErr w:type="gramStart"/>
      <w:r>
        <w:t>whereas</w:t>
      </w:r>
      <w:proofErr w:type="gramEnd"/>
      <w:r>
        <w:t xml:space="preserve"> for Lithuania and </w:t>
      </w:r>
      <w:r w:rsidR="00B723F1">
        <w:t>Estonia</w:t>
      </w:r>
      <w:r>
        <w:t xml:space="preserve"> this growth was equal respectively to 103.36% </w:t>
      </w:r>
      <w:proofErr w:type="gramStart"/>
      <w:r>
        <w:t>and</w:t>
      </w:r>
      <w:proofErr w:type="gramEnd"/>
      <w:r>
        <w:t xml:space="preserve"> </w:t>
      </w:r>
      <w:r w:rsidR="00B723F1">
        <w:t>75.60</w:t>
      </w:r>
      <w:r>
        <w:t>%.</w:t>
      </w:r>
    </w:p>
    <w:p w:rsidR="005D530E" w:rsidRDefault="005D530E" w:rsidP="003832B5">
      <w:pPr>
        <w:autoSpaceDE w:val="0"/>
        <w:autoSpaceDN w:val="0"/>
        <w:adjustRightInd w:val="0"/>
        <w:spacing w:after="0"/>
        <w:ind w:firstLine="284"/>
      </w:pPr>
      <w:r>
        <w:t xml:space="preserve">We can find some evidence that </w:t>
      </w:r>
      <w:r w:rsidR="003832B5">
        <w:t>t</w:t>
      </w:r>
      <w:r w:rsidR="003832B5" w:rsidRPr="003832B5">
        <w:t>otal weekly hours worked are positively correlate</w:t>
      </w:r>
      <w:r w:rsidR="003832B5" w:rsidRPr="003832B5">
        <w:t xml:space="preserve">d with the annual growth in GDP. </w:t>
      </w:r>
      <w:r w:rsidR="003832B5" w:rsidRPr="003832B5">
        <w:t>The Monetary Policy Committee at the Bank of England pay close attention to the number of hours worked when considering monetary policy decisions as these may be more closely related to changes in demand and outp</w:t>
      </w:r>
      <w:r w:rsidR="003832B5" w:rsidRPr="003832B5">
        <w:t>ut than the level of employment (</w:t>
      </w:r>
      <w:r w:rsidR="003832B5" w:rsidRPr="00A84A07">
        <w:t>Stam, Coleman</w:t>
      </w:r>
      <w:r w:rsidR="003832B5">
        <w:t xml:space="preserve">, </w:t>
      </w:r>
      <w:r w:rsidR="003832B5" w:rsidRPr="00A84A07">
        <w:t>2010</w:t>
      </w:r>
      <w:r w:rsidR="003832B5">
        <w:t>, p</w:t>
      </w:r>
      <w:proofErr w:type="gramStart"/>
      <w:r w:rsidR="003832B5">
        <w:t>. 50). The</w:t>
      </w:r>
      <w:proofErr w:type="gramEnd"/>
      <w:r w:rsidR="003832B5">
        <w:t xml:space="preserve"> growing negative correlation between labour productivity and a</w:t>
      </w:r>
      <w:r w:rsidR="003832B5" w:rsidRPr="00A57B86">
        <w:t xml:space="preserve">nnual hours worked per worker </w:t>
      </w:r>
      <w:r w:rsidR="003832B5">
        <w:t xml:space="preserve">in EU countries means that, we can not expect significant positive tendencies in the level of employment </w:t>
      </w:r>
      <w:r w:rsidR="00937ADD">
        <w:t xml:space="preserve">in the near future. </w:t>
      </w:r>
      <w:r w:rsidR="00B77C04">
        <w:t xml:space="preserve">Almost all European countries demonstrated the same decreasing evidence in </w:t>
      </w:r>
      <w:r w:rsidR="00B77C04">
        <w:t>a</w:t>
      </w:r>
      <w:r w:rsidR="00B77C04" w:rsidRPr="00A57B86">
        <w:t>nnual hours worked per worker</w:t>
      </w:r>
      <w:r w:rsidR="00B77C04">
        <w:t xml:space="preserve"> since 2001 (see Figure 3). </w:t>
      </w:r>
      <w:r w:rsidR="00B723F1">
        <w:t xml:space="preserve">The biggest reductions were observed for Luxembourg (-16.22%) </w:t>
      </w:r>
      <w:proofErr w:type="gramStart"/>
      <w:r w:rsidR="00B723F1">
        <w:t>and</w:t>
      </w:r>
      <w:proofErr w:type="gramEnd"/>
      <w:r w:rsidR="00B723F1">
        <w:t xml:space="preserve"> Ireland (-12.43%). </w:t>
      </w:r>
      <w:r w:rsidR="00B77C04">
        <w:t xml:space="preserve">There was only one </w:t>
      </w:r>
      <w:r w:rsidR="00B723F1">
        <w:t xml:space="preserve">essential </w:t>
      </w:r>
      <w:r w:rsidR="00B77C04">
        <w:t xml:space="preserve">exception – Lithuania – with </w:t>
      </w:r>
      <w:r w:rsidR="00B723F1">
        <w:t>growth equal to 5.38%</w:t>
      </w:r>
      <w:r w:rsidR="00176DCA">
        <w:t xml:space="preserve"> (</w:t>
      </w:r>
      <w:proofErr w:type="gramStart"/>
      <w:r w:rsidR="00176DCA">
        <w:t>see</w:t>
      </w:r>
      <w:proofErr w:type="gramEnd"/>
      <w:r w:rsidR="00176DCA">
        <w:t xml:space="preserve"> Figure 4)</w:t>
      </w:r>
      <w:r w:rsidR="00B723F1">
        <w:t>.</w:t>
      </w:r>
    </w:p>
    <w:p w:rsidR="00FB21F1" w:rsidRDefault="00E36122" w:rsidP="00F1690C">
      <w:pPr>
        <w:jc w:val="center"/>
      </w:pPr>
      <w:r>
        <w:rPr>
          <w:noProof/>
          <w:lang w:eastAsia="pl-PL"/>
        </w:rPr>
        <w:drawing>
          <wp:inline distT="0" distB="0" distL="0" distR="0" wp14:anchorId="67A86987" wp14:editId="6FD61A2B">
            <wp:extent cx="4572000" cy="24765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6DCA" w:rsidRPr="00A57B86" w:rsidRDefault="00176DCA" w:rsidP="00176DCA">
      <w:pPr>
        <w:spacing w:line="240" w:lineRule="auto"/>
      </w:pPr>
      <w:r w:rsidRPr="00A57B86">
        <w:t xml:space="preserve">Fig. </w:t>
      </w:r>
      <w:r>
        <w:t>3</w:t>
      </w:r>
      <w:r w:rsidRPr="00A57B86">
        <w:t>. Annual hours worked per worker in the EU in 199</w:t>
      </w:r>
      <w:r>
        <w:t>4</w:t>
      </w:r>
      <w:r w:rsidRPr="00A57B86">
        <w:t>-2014</w:t>
      </w:r>
    </w:p>
    <w:p w:rsidR="00176DCA" w:rsidRPr="005A29A8" w:rsidRDefault="00176DCA" w:rsidP="00176DCA">
      <w:pPr>
        <w:spacing w:line="240" w:lineRule="auto"/>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FB21F1" w:rsidRDefault="00FB21F1" w:rsidP="00176DCA">
      <w:pPr>
        <w:spacing w:after="0"/>
      </w:pPr>
    </w:p>
    <w:p w:rsidR="00D366AA" w:rsidRDefault="00D366AA" w:rsidP="00D366AA">
      <w:pPr>
        <w:autoSpaceDE w:val="0"/>
        <w:autoSpaceDN w:val="0"/>
        <w:adjustRightInd w:val="0"/>
        <w:spacing w:after="0"/>
        <w:ind w:firstLine="284"/>
      </w:pPr>
      <w:r>
        <w:t>The higest level</w:t>
      </w:r>
      <w:r>
        <w:t>s</w:t>
      </w:r>
      <w:r>
        <w:t xml:space="preserve"> of a</w:t>
      </w:r>
      <w:r w:rsidRPr="00A57B86">
        <w:t>nnual hours worked per worker</w:t>
      </w:r>
      <w:r>
        <w:t xml:space="preserve"> in 2014 w</w:t>
      </w:r>
      <w:r>
        <w:t>ere</w:t>
      </w:r>
      <w:r>
        <w:t xml:space="preserve"> </w:t>
      </w:r>
      <w:r>
        <w:t>noticed for Greece (2042) and Poland (2039), whereas the lowest was observed for Germany (1371). It means that German workers spent approximately 33% hours less in work in comparison with these two countries (see Figure 4).</w:t>
      </w:r>
    </w:p>
    <w:p w:rsidR="00176DCA" w:rsidRDefault="00176DCA" w:rsidP="00176DCA">
      <w:pPr>
        <w:spacing w:after="0"/>
      </w:pPr>
    </w:p>
    <w:p w:rsidR="00FB21F1" w:rsidRDefault="00A21436" w:rsidP="00A21436">
      <w:pPr>
        <w:jc w:val="center"/>
      </w:pPr>
      <w:r>
        <w:rPr>
          <w:noProof/>
          <w:lang w:eastAsia="pl-PL"/>
        </w:rPr>
        <w:lastRenderedPageBreak/>
        <w:drawing>
          <wp:inline distT="0" distB="0" distL="0" distR="0" wp14:anchorId="3B6B4CE6" wp14:editId="2E2B4930">
            <wp:extent cx="4572000" cy="2505075"/>
            <wp:effectExtent l="0" t="0" r="0" b="952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DCA" w:rsidRPr="00A57B86" w:rsidRDefault="00176DCA" w:rsidP="00176DCA">
      <w:pPr>
        <w:spacing w:line="240" w:lineRule="auto"/>
      </w:pPr>
      <w:r w:rsidRPr="00A57B86">
        <w:t xml:space="preserve">Fig. </w:t>
      </w:r>
      <w:r>
        <w:t>4</w:t>
      </w:r>
      <w:r w:rsidRPr="00A57B86">
        <w:t xml:space="preserve">. </w:t>
      </w:r>
      <w:r>
        <w:t>Change in a</w:t>
      </w:r>
      <w:r w:rsidRPr="00A57B86">
        <w:t xml:space="preserve">nnual hours worked per worker in the EU </w:t>
      </w:r>
      <w:r>
        <w:t xml:space="preserve">countries </w:t>
      </w:r>
      <w:r w:rsidRPr="00A57B86">
        <w:t>in 199</w:t>
      </w:r>
      <w:r>
        <w:t>4</w:t>
      </w:r>
      <w:r w:rsidRPr="00A57B86">
        <w:t>-2014</w:t>
      </w:r>
    </w:p>
    <w:p w:rsidR="00176DCA" w:rsidRPr="005A29A8" w:rsidRDefault="00176DCA" w:rsidP="00176DCA">
      <w:pPr>
        <w:spacing w:line="240" w:lineRule="auto"/>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FB21F1" w:rsidRDefault="00FB21F1" w:rsidP="00BD465E">
      <w:pPr>
        <w:spacing w:after="0"/>
      </w:pPr>
    </w:p>
    <w:p w:rsidR="00E1064D" w:rsidRPr="00E1064D" w:rsidRDefault="009D6BCD" w:rsidP="00BD465E">
      <w:pPr>
        <w:spacing w:after="0"/>
        <w:rPr>
          <w:b/>
        </w:rPr>
      </w:pPr>
      <w:r>
        <w:rPr>
          <w:b/>
        </w:rPr>
        <w:t xml:space="preserve">Classification of </w:t>
      </w:r>
      <w:r w:rsidR="00E1064D" w:rsidRPr="00E1064D">
        <w:rPr>
          <w:b/>
        </w:rPr>
        <w:t>E</w:t>
      </w:r>
      <w:r>
        <w:rPr>
          <w:b/>
        </w:rPr>
        <w:t>U countries according to chosen features of labour market</w:t>
      </w:r>
    </w:p>
    <w:p w:rsidR="00E1064D" w:rsidRDefault="009D6BCD" w:rsidP="00BD465E">
      <w:pPr>
        <w:spacing w:after="0"/>
        <w:ind w:firstLine="284"/>
        <w:rPr>
          <w:rFonts w:cs="Times New Roman"/>
        </w:rPr>
      </w:pPr>
      <w:r w:rsidRPr="00E1064D">
        <w:t xml:space="preserve">Comparisons of labour characteristics such like productivity levels </w:t>
      </w:r>
      <w:r>
        <w:t xml:space="preserve">and </w:t>
      </w:r>
      <w:r w:rsidR="00AD2741">
        <w:t xml:space="preserve">share </w:t>
      </w:r>
      <w:r>
        <w:t xml:space="preserve">of labour </w:t>
      </w:r>
      <w:r w:rsidR="00AD2741">
        <w:t xml:space="preserve">compensation </w:t>
      </w:r>
      <w:r>
        <w:t xml:space="preserve">in GDP </w:t>
      </w:r>
      <w:r w:rsidRPr="00E1064D">
        <w:t>face several problems related to the measurement of labour input</w:t>
      </w:r>
      <w:r w:rsidR="00AD2741">
        <w:t>. S</w:t>
      </w:r>
      <w:r w:rsidRPr="00E1064D">
        <w:t>ome countries integrate the measurement of labour input in the national accounts. In most countries, however, employment data are derived from labour force surveys, which are not entirely consistent with the national accounts</w:t>
      </w:r>
      <w:r w:rsidR="00AD2741">
        <w:t xml:space="preserve">. Second limitation is a consequence of </w:t>
      </w:r>
      <w:r w:rsidRPr="00E1064D">
        <w:t xml:space="preserve">the </w:t>
      </w:r>
      <w:r w:rsidR="00AD2741">
        <w:t xml:space="preserve">necessity of </w:t>
      </w:r>
      <w:r w:rsidRPr="00E1064D">
        <w:t>international comparisons of labour output which require price ratios to convert output expressed in a national currency into a common unit.</w:t>
      </w:r>
      <w:r w:rsidR="00AD2741">
        <w:t xml:space="preserve"> One of the best database that we can use in such curcumstances is probably </w:t>
      </w:r>
      <w:r w:rsidR="00E1064D" w:rsidRPr="00E1064D">
        <w:rPr>
          <w:rFonts w:cs="Times New Roman"/>
        </w:rPr>
        <w:t>The Conference Board 2015,</w:t>
      </w:r>
      <w:r w:rsidR="005A29A8">
        <w:rPr>
          <w:rFonts w:cs="Times New Roman"/>
        </w:rPr>
        <w:t xml:space="preserve"> </w:t>
      </w:r>
      <w:r w:rsidR="00E1064D" w:rsidRPr="00E1064D">
        <w:rPr>
          <w:rFonts w:cs="Times New Roman"/>
        </w:rPr>
        <w:t>The Conferenc</w:t>
      </w:r>
      <w:r w:rsidR="00AD2741">
        <w:rPr>
          <w:rFonts w:cs="Times New Roman"/>
        </w:rPr>
        <w:t>e Board Total Economy Database™</w:t>
      </w:r>
      <w:r w:rsidR="00AD2741">
        <w:rPr>
          <w:rStyle w:val="Odwoanieprzypisudolnego"/>
          <w:rFonts w:cs="Times New Roman"/>
        </w:rPr>
        <w:footnoteReference w:id="6"/>
      </w:r>
      <w:r w:rsidR="00AD2741">
        <w:rPr>
          <w:rFonts w:cs="Times New Roman"/>
        </w:rPr>
        <w:t>.</w:t>
      </w:r>
    </w:p>
    <w:p w:rsidR="00AD2741" w:rsidRPr="00E1064D" w:rsidRDefault="00C65DC2" w:rsidP="00AD2741">
      <w:pPr>
        <w:spacing w:after="0"/>
        <w:ind w:firstLine="284"/>
        <w:rPr>
          <w:rFonts w:cs="Times New Roman"/>
        </w:rPr>
      </w:pPr>
      <w:r>
        <w:rPr>
          <w:rFonts w:cs="Times New Roman"/>
        </w:rPr>
        <w:t>All European Union countries</w:t>
      </w:r>
      <w:r w:rsidR="009E3AAF">
        <w:rPr>
          <w:rFonts w:cs="Times New Roman"/>
        </w:rPr>
        <w:t>,</w:t>
      </w:r>
      <w:r>
        <w:rPr>
          <w:rFonts w:cs="Times New Roman"/>
        </w:rPr>
        <w:t xml:space="preserve"> apart from Croatia because of some data lacks, were classified into homogenous groups according to all three variables described in the previous section. C</w:t>
      </w:r>
      <w:r w:rsidR="00AD2741">
        <w:rPr>
          <w:rFonts w:cs="Times New Roman"/>
        </w:rPr>
        <w:t xml:space="preserve">luster analysis </w:t>
      </w:r>
      <w:r w:rsidR="009E3AAF">
        <w:rPr>
          <w:rFonts w:cs="Times New Roman"/>
        </w:rPr>
        <w:t>(Ward</w:t>
      </w:r>
      <w:r w:rsidR="00657C6F">
        <w:rPr>
          <w:rFonts w:cs="Times New Roman"/>
        </w:rPr>
        <w:t>’s</w:t>
      </w:r>
      <w:r w:rsidR="009E3AAF">
        <w:rPr>
          <w:rFonts w:cs="Times New Roman"/>
        </w:rPr>
        <w:t xml:space="preserve"> method) </w:t>
      </w:r>
      <w:r>
        <w:rPr>
          <w:rFonts w:cs="Times New Roman"/>
        </w:rPr>
        <w:t xml:space="preserve">was applied </w:t>
      </w:r>
      <w:r w:rsidR="009E3AAF">
        <w:rPr>
          <w:rFonts w:cs="Times New Roman"/>
        </w:rPr>
        <w:t xml:space="preserve">to discover the path of creation of two labour force profiles </w:t>
      </w:r>
      <w:r w:rsidR="00674908">
        <w:rPr>
          <w:rFonts w:cs="Times New Roman"/>
        </w:rPr>
        <w:t>for</w:t>
      </w:r>
      <w:r w:rsidR="009E3AAF">
        <w:rPr>
          <w:rFonts w:cs="Times New Roman"/>
        </w:rPr>
        <w:t xml:space="preserve"> EU countries in 1994-2014</w:t>
      </w:r>
      <w:r w:rsidR="00EF5367">
        <w:rPr>
          <w:rStyle w:val="Odwoanieprzypisudolnego"/>
          <w:rFonts w:cs="Times New Roman"/>
        </w:rPr>
        <w:footnoteReference w:id="7"/>
      </w:r>
      <w:r w:rsidR="009E3AAF">
        <w:rPr>
          <w:rFonts w:cs="Times New Roman"/>
        </w:rPr>
        <w:t xml:space="preserve">. </w:t>
      </w:r>
      <w:r w:rsidR="0092235F">
        <w:rPr>
          <w:rFonts w:cs="Times New Roman"/>
        </w:rPr>
        <w:t xml:space="preserve">Results were presented in Figures 5-7. </w:t>
      </w:r>
      <w:r w:rsidR="009E3AAF">
        <w:rPr>
          <w:rFonts w:cs="Times New Roman"/>
        </w:rPr>
        <w:t>First profile contain</w:t>
      </w:r>
      <w:r w:rsidR="0092235F">
        <w:rPr>
          <w:rFonts w:cs="Times New Roman"/>
        </w:rPr>
        <w:t>ing</w:t>
      </w:r>
      <w:r w:rsidR="009E3AAF">
        <w:rPr>
          <w:rFonts w:cs="Times New Roman"/>
        </w:rPr>
        <w:t xml:space="preserve"> less developed countries </w:t>
      </w:r>
      <w:r w:rsidR="0092235F">
        <w:rPr>
          <w:rFonts w:cs="Times New Roman"/>
        </w:rPr>
        <w:t>(in 2014 new members of EU, Greece, Portugal and Spain) is characterized by l</w:t>
      </w:r>
      <w:r w:rsidR="0092235F" w:rsidRPr="0092235F">
        <w:rPr>
          <w:rFonts w:cs="Times New Roman"/>
        </w:rPr>
        <w:t>ow share of labour compenasation in GDP</w:t>
      </w:r>
      <w:r w:rsidR="0092235F" w:rsidRPr="0092235F">
        <w:rPr>
          <w:rFonts w:cs="Times New Roman"/>
        </w:rPr>
        <w:t>, l</w:t>
      </w:r>
      <w:r w:rsidR="0092235F" w:rsidRPr="0092235F">
        <w:rPr>
          <w:rFonts w:cs="Times New Roman"/>
        </w:rPr>
        <w:t>ow labour productivity</w:t>
      </w:r>
      <w:r w:rsidR="0092235F" w:rsidRPr="0092235F">
        <w:rPr>
          <w:rFonts w:cs="Times New Roman"/>
        </w:rPr>
        <w:t xml:space="preserve"> and h</w:t>
      </w:r>
      <w:r w:rsidR="0092235F" w:rsidRPr="0092235F">
        <w:rPr>
          <w:rFonts w:cs="Times New Roman"/>
        </w:rPr>
        <w:t>igh annual worked hours per worker</w:t>
      </w:r>
      <w:r w:rsidR="0092235F" w:rsidRPr="0092235F">
        <w:rPr>
          <w:rFonts w:cs="Times New Roman"/>
        </w:rPr>
        <w:t>. The second includes high developed European Union members with h</w:t>
      </w:r>
      <w:r w:rsidR="0092235F" w:rsidRPr="0092235F">
        <w:rPr>
          <w:rFonts w:cs="Times New Roman"/>
        </w:rPr>
        <w:t>igh share of labour compenasation in GDP</w:t>
      </w:r>
      <w:r w:rsidR="0092235F" w:rsidRPr="0092235F">
        <w:rPr>
          <w:rFonts w:cs="Times New Roman"/>
        </w:rPr>
        <w:t xml:space="preserve">, high </w:t>
      </w:r>
      <w:r w:rsidR="0092235F" w:rsidRPr="0092235F">
        <w:rPr>
          <w:rFonts w:cs="Times New Roman"/>
        </w:rPr>
        <w:t>labour productivity</w:t>
      </w:r>
      <w:r w:rsidR="0092235F" w:rsidRPr="0092235F">
        <w:rPr>
          <w:rFonts w:cs="Times New Roman"/>
        </w:rPr>
        <w:t xml:space="preserve"> and low </w:t>
      </w:r>
      <w:r w:rsidR="0092235F" w:rsidRPr="0092235F">
        <w:rPr>
          <w:rFonts w:cs="Times New Roman"/>
        </w:rPr>
        <w:t>annual worked hours per worker</w:t>
      </w:r>
      <w:r w:rsidR="0092235F" w:rsidRPr="0092235F">
        <w:rPr>
          <w:rFonts w:cs="Times New Roman"/>
        </w:rPr>
        <w:t xml:space="preserve"> (see Table 1).</w:t>
      </w:r>
    </w:p>
    <w:p w:rsidR="00206FE4" w:rsidRDefault="00657C6F" w:rsidP="00EA7B6E">
      <w:pPr>
        <w:jc w:val="center"/>
      </w:pPr>
      <w:r w:rsidRPr="00657C6F">
        <w:rPr>
          <w:noProof/>
          <w:lang w:eastAsia="pl-PL"/>
        </w:rPr>
        <w:lastRenderedPageBreak/>
        <w:drawing>
          <wp:inline distT="0" distB="0" distL="0" distR="0">
            <wp:extent cx="4457700" cy="334327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EA7B6E" w:rsidRPr="00A57B86" w:rsidRDefault="00EA7B6E" w:rsidP="00EA7B6E">
      <w:pPr>
        <w:spacing w:line="240" w:lineRule="auto"/>
      </w:pPr>
      <w:r w:rsidRPr="00A57B86">
        <w:t xml:space="preserve">Fig. </w:t>
      </w:r>
      <w:r>
        <w:t>5</w:t>
      </w:r>
      <w:r w:rsidRPr="00A57B86">
        <w:t xml:space="preserve">. </w:t>
      </w:r>
      <w:r>
        <w:t xml:space="preserve">Results of cluster analysis for </w:t>
      </w:r>
      <w:r w:rsidRPr="00A57B86">
        <w:t>199</w:t>
      </w:r>
      <w:r>
        <w:t>4</w:t>
      </w:r>
    </w:p>
    <w:p w:rsidR="00EA7B6E" w:rsidRPr="005A29A8" w:rsidRDefault="00EA7B6E" w:rsidP="00EA7B6E">
      <w:pPr>
        <w:spacing w:line="240" w:lineRule="auto"/>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EA7B6E" w:rsidRDefault="00EA7B6E" w:rsidP="00EA7B6E"/>
    <w:p w:rsidR="007720AA" w:rsidRDefault="00EA7B6E" w:rsidP="00EA7B6E">
      <w:pPr>
        <w:jc w:val="center"/>
      </w:pPr>
      <w:r w:rsidRPr="00EA7B6E">
        <w:rPr>
          <w:noProof/>
          <w:lang w:eastAsia="pl-PL"/>
        </w:rPr>
        <w:drawing>
          <wp:inline distT="0" distB="0" distL="0" distR="0">
            <wp:extent cx="4457700" cy="33432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EA7B6E" w:rsidRPr="00A57B86" w:rsidRDefault="00EA7B6E" w:rsidP="00EA7B6E">
      <w:pPr>
        <w:spacing w:line="240" w:lineRule="auto"/>
      </w:pPr>
      <w:r w:rsidRPr="00A57B86">
        <w:t xml:space="preserve">Fig. </w:t>
      </w:r>
      <w:r>
        <w:t>6</w:t>
      </w:r>
      <w:r w:rsidRPr="00A57B86">
        <w:t xml:space="preserve">. </w:t>
      </w:r>
      <w:r>
        <w:t xml:space="preserve">Results of cluster analysis for </w:t>
      </w:r>
      <w:r>
        <w:t>2004</w:t>
      </w:r>
    </w:p>
    <w:p w:rsidR="00EA7B6E" w:rsidRPr="005A29A8" w:rsidRDefault="00EA7B6E" w:rsidP="00EA7B6E">
      <w:pPr>
        <w:spacing w:line="240" w:lineRule="auto"/>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EA7B6E" w:rsidRDefault="00EF5367" w:rsidP="00EF5367">
      <w:pPr>
        <w:spacing w:line="240" w:lineRule="auto"/>
        <w:jc w:val="center"/>
      </w:pPr>
      <w:r w:rsidRPr="00EF5367">
        <w:rPr>
          <w:noProof/>
          <w:lang w:eastAsia="pl-PL"/>
        </w:rPr>
        <w:lastRenderedPageBreak/>
        <w:drawing>
          <wp:inline distT="0" distB="0" distL="0" distR="0">
            <wp:extent cx="4457700" cy="334327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EA7B6E" w:rsidRPr="00A57B86" w:rsidRDefault="00EA7B6E" w:rsidP="00EA7B6E">
      <w:pPr>
        <w:spacing w:line="240" w:lineRule="auto"/>
      </w:pPr>
      <w:r w:rsidRPr="00A57B86">
        <w:t xml:space="preserve">Fig. </w:t>
      </w:r>
      <w:r>
        <w:t>7</w:t>
      </w:r>
      <w:r w:rsidRPr="00A57B86">
        <w:t xml:space="preserve">. </w:t>
      </w:r>
      <w:r>
        <w:t>Results of cluster analysis for 20</w:t>
      </w:r>
      <w:r>
        <w:t>1</w:t>
      </w:r>
      <w:r>
        <w:t>4</w:t>
      </w:r>
    </w:p>
    <w:p w:rsidR="00EA7B6E" w:rsidRPr="005A29A8" w:rsidRDefault="00EA7B6E" w:rsidP="00EA7B6E">
      <w:pPr>
        <w:spacing w:line="240" w:lineRule="auto"/>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207AFA" w:rsidRDefault="00207AFA" w:rsidP="00F633D8"/>
    <w:p w:rsidR="00A57B86" w:rsidRDefault="0092235F" w:rsidP="00674908">
      <w:pPr>
        <w:spacing w:line="240" w:lineRule="auto"/>
        <w:jc w:val="center"/>
      </w:pPr>
      <w:r>
        <w:t>Table 1. Labour force p</w:t>
      </w:r>
      <w:r w:rsidR="00260677">
        <w:t>rofile</w:t>
      </w:r>
      <w:r>
        <w:t xml:space="preserve">s </w:t>
      </w:r>
      <w:r w:rsidR="00674908">
        <w:t>for</w:t>
      </w:r>
      <w:r>
        <w:t xml:space="preserve"> EU countries</w:t>
      </w:r>
    </w:p>
    <w:tbl>
      <w:tblPr>
        <w:tblW w:w="85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783"/>
        <w:gridCol w:w="6732"/>
      </w:tblGrid>
      <w:tr w:rsidR="00674908" w:rsidRPr="00674908" w:rsidTr="00674908">
        <w:trPr>
          <w:trHeight w:val="365"/>
          <w:jc w:val="center"/>
        </w:trPr>
        <w:tc>
          <w:tcPr>
            <w:tcW w:w="1783" w:type="dxa"/>
            <w:vMerge w:val="restart"/>
            <w:shd w:val="clear" w:color="auto" w:fill="auto"/>
            <w:tcMar>
              <w:top w:w="4" w:type="dxa"/>
              <w:left w:w="4" w:type="dxa"/>
              <w:bottom w:w="0" w:type="dxa"/>
              <w:right w:w="4" w:type="dxa"/>
            </w:tcMar>
            <w:vAlign w:val="center"/>
            <w:hideMark/>
          </w:tcPr>
          <w:p w:rsidR="00674908" w:rsidRPr="00674908" w:rsidRDefault="00674908" w:rsidP="00853E6E">
            <w:pPr>
              <w:spacing w:line="240" w:lineRule="auto"/>
              <w:jc w:val="left"/>
              <w:rPr>
                <w:color w:val="000000" w:themeColor="text1"/>
                <w:sz w:val="20"/>
                <w:szCs w:val="20"/>
              </w:rPr>
            </w:pPr>
            <w:r w:rsidRPr="00674908">
              <w:rPr>
                <w:b/>
                <w:bCs/>
                <w:color w:val="000000" w:themeColor="text1"/>
                <w:sz w:val="20"/>
                <w:szCs w:val="20"/>
              </w:rPr>
              <w:t>PROFILE 1</w:t>
            </w:r>
          </w:p>
          <w:p w:rsidR="00674908" w:rsidRPr="00674908" w:rsidRDefault="00674908" w:rsidP="00853E6E">
            <w:pPr>
              <w:spacing w:line="240" w:lineRule="auto"/>
              <w:jc w:val="left"/>
              <w:rPr>
                <w:color w:val="000000" w:themeColor="text1"/>
                <w:sz w:val="20"/>
                <w:szCs w:val="20"/>
              </w:rPr>
            </w:pPr>
            <w:r w:rsidRPr="00674908">
              <w:rPr>
                <w:color w:val="000000" w:themeColor="text1"/>
                <w:sz w:val="20"/>
                <w:szCs w:val="20"/>
              </w:rPr>
              <w:t>Low GDP</w:t>
            </w:r>
            <w:r>
              <w:rPr>
                <w:color w:val="000000" w:themeColor="text1"/>
                <w:sz w:val="20"/>
                <w:szCs w:val="20"/>
              </w:rPr>
              <w:t xml:space="preserve"> </w:t>
            </w:r>
            <w:r w:rsidRPr="00674908">
              <w:rPr>
                <w:i/>
                <w:color w:val="000000" w:themeColor="text1"/>
                <w:sz w:val="20"/>
                <w:szCs w:val="20"/>
              </w:rPr>
              <w:t>per capita</w:t>
            </w:r>
          </w:p>
        </w:tc>
        <w:tc>
          <w:tcPr>
            <w:tcW w:w="6732" w:type="dxa"/>
            <w:shd w:val="clear" w:color="auto" w:fill="auto"/>
            <w:tcMar>
              <w:top w:w="4" w:type="dxa"/>
              <w:left w:w="4" w:type="dxa"/>
              <w:bottom w:w="0" w:type="dxa"/>
              <w:right w:w="4" w:type="dxa"/>
            </w:tcMar>
            <w:vAlign w:val="bottom"/>
            <w:hideMark/>
          </w:tcPr>
          <w:p w:rsidR="00674908" w:rsidRPr="00674908" w:rsidRDefault="00674908" w:rsidP="00674908">
            <w:pPr>
              <w:spacing w:line="240" w:lineRule="auto"/>
              <w:rPr>
                <w:color w:val="000000" w:themeColor="text1"/>
                <w:sz w:val="20"/>
                <w:szCs w:val="20"/>
              </w:rPr>
            </w:pPr>
            <w:r w:rsidRPr="00674908">
              <w:rPr>
                <w:color w:val="000000" w:themeColor="text1"/>
                <w:sz w:val="20"/>
                <w:szCs w:val="20"/>
              </w:rPr>
              <w:t>Low share of labour compenasation in GDP (1994 mean 56</w:t>
            </w:r>
            <w:r>
              <w:rPr>
                <w:color w:val="000000" w:themeColor="text1"/>
                <w:sz w:val="20"/>
                <w:szCs w:val="20"/>
              </w:rPr>
              <w:t>.</w:t>
            </w:r>
            <w:r w:rsidRPr="00674908">
              <w:rPr>
                <w:color w:val="000000" w:themeColor="text1"/>
                <w:sz w:val="20"/>
                <w:szCs w:val="20"/>
              </w:rPr>
              <w:t>9</w:t>
            </w:r>
            <w:r>
              <w:rPr>
                <w:color w:val="000000" w:themeColor="text1"/>
                <w:sz w:val="20"/>
                <w:szCs w:val="20"/>
              </w:rPr>
              <w:t>;</w:t>
            </w:r>
            <w:r w:rsidRPr="00674908">
              <w:rPr>
                <w:color w:val="000000" w:themeColor="text1"/>
                <w:sz w:val="20"/>
                <w:szCs w:val="20"/>
              </w:rPr>
              <w:t xml:space="preserve"> 2014 </w:t>
            </w:r>
            <w:proofErr w:type="gramStart"/>
            <w:r w:rsidRPr="00674908">
              <w:rPr>
                <w:color w:val="000000" w:themeColor="text1"/>
                <w:sz w:val="20"/>
                <w:szCs w:val="20"/>
              </w:rPr>
              <w:t>mean</w:t>
            </w:r>
            <w:proofErr w:type="gramEnd"/>
            <w:r w:rsidRPr="00674908">
              <w:rPr>
                <w:color w:val="000000" w:themeColor="text1"/>
                <w:sz w:val="20"/>
                <w:szCs w:val="20"/>
              </w:rPr>
              <w:t xml:space="preserve"> 57</w:t>
            </w:r>
            <w:r>
              <w:rPr>
                <w:color w:val="000000" w:themeColor="text1"/>
                <w:sz w:val="20"/>
                <w:szCs w:val="20"/>
              </w:rPr>
              <w:t>.</w:t>
            </w:r>
            <w:r w:rsidRPr="00674908">
              <w:rPr>
                <w:color w:val="000000" w:themeColor="text1"/>
                <w:sz w:val="20"/>
                <w:szCs w:val="20"/>
              </w:rPr>
              <w:t>7%)</w:t>
            </w:r>
          </w:p>
        </w:tc>
      </w:tr>
      <w:tr w:rsidR="00674908" w:rsidRPr="00674908" w:rsidTr="00674908">
        <w:trPr>
          <w:trHeight w:val="365"/>
          <w:jc w:val="center"/>
        </w:trPr>
        <w:tc>
          <w:tcPr>
            <w:tcW w:w="1783" w:type="dxa"/>
            <w:vMerge/>
            <w:shd w:val="clear" w:color="auto" w:fill="auto"/>
            <w:tcMar>
              <w:top w:w="4" w:type="dxa"/>
              <w:left w:w="4" w:type="dxa"/>
              <w:bottom w:w="0" w:type="dxa"/>
              <w:right w:w="4" w:type="dxa"/>
            </w:tcMar>
            <w:vAlign w:val="bottom"/>
            <w:hideMark/>
          </w:tcPr>
          <w:p w:rsidR="00674908" w:rsidRPr="00674908" w:rsidRDefault="00674908" w:rsidP="00853E6E">
            <w:pPr>
              <w:spacing w:line="240" w:lineRule="auto"/>
              <w:jc w:val="left"/>
              <w:rPr>
                <w:color w:val="000000" w:themeColor="text1"/>
                <w:sz w:val="20"/>
                <w:szCs w:val="20"/>
              </w:rPr>
            </w:pPr>
          </w:p>
        </w:tc>
        <w:tc>
          <w:tcPr>
            <w:tcW w:w="6732" w:type="dxa"/>
            <w:shd w:val="clear" w:color="auto" w:fill="auto"/>
            <w:tcMar>
              <w:top w:w="4" w:type="dxa"/>
              <w:left w:w="4" w:type="dxa"/>
              <w:bottom w:w="0" w:type="dxa"/>
              <w:right w:w="4" w:type="dxa"/>
            </w:tcMar>
            <w:vAlign w:val="bottom"/>
            <w:hideMark/>
          </w:tcPr>
          <w:p w:rsidR="00674908" w:rsidRPr="00674908" w:rsidRDefault="00674908" w:rsidP="00812E90">
            <w:pPr>
              <w:spacing w:line="240" w:lineRule="auto"/>
              <w:rPr>
                <w:color w:val="000000" w:themeColor="text1"/>
                <w:sz w:val="20"/>
                <w:szCs w:val="20"/>
              </w:rPr>
            </w:pPr>
            <w:r w:rsidRPr="00674908">
              <w:rPr>
                <w:bCs/>
                <w:color w:val="000000" w:themeColor="text1"/>
                <w:sz w:val="20"/>
                <w:szCs w:val="20"/>
              </w:rPr>
              <w:t>Low labour productivity per person (1994 mean 38</w:t>
            </w:r>
            <w:r>
              <w:rPr>
                <w:bCs/>
                <w:color w:val="000000" w:themeColor="text1"/>
                <w:sz w:val="20"/>
                <w:szCs w:val="20"/>
              </w:rPr>
              <w:t> </w:t>
            </w:r>
            <w:r w:rsidRPr="00674908">
              <w:rPr>
                <w:bCs/>
                <w:color w:val="000000" w:themeColor="text1"/>
                <w:sz w:val="20"/>
                <w:szCs w:val="20"/>
              </w:rPr>
              <w:t>508</w:t>
            </w:r>
            <w:r>
              <w:rPr>
                <w:bCs/>
                <w:color w:val="000000" w:themeColor="text1"/>
                <w:sz w:val="20"/>
                <w:szCs w:val="20"/>
              </w:rPr>
              <w:t>;</w:t>
            </w:r>
            <w:r w:rsidRPr="00674908">
              <w:rPr>
                <w:bCs/>
                <w:color w:val="000000" w:themeColor="text1"/>
                <w:sz w:val="20"/>
                <w:szCs w:val="20"/>
              </w:rPr>
              <w:t xml:space="preserve"> 2014 mean 63</w:t>
            </w:r>
            <w:r>
              <w:rPr>
                <w:bCs/>
                <w:color w:val="000000" w:themeColor="text1"/>
                <w:sz w:val="20"/>
                <w:szCs w:val="20"/>
              </w:rPr>
              <w:t> </w:t>
            </w:r>
            <w:r w:rsidRPr="00674908">
              <w:rPr>
                <w:bCs/>
                <w:color w:val="000000" w:themeColor="text1"/>
                <w:sz w:val="20"/>
                <w:szCs w:val="20"/>
              </w:rPr>
              <w:t>039)</w:t>
            </w:r>
          </w:p>
        </w:tc>
      </w:tr>
      <w:tr w:rsidR="00674908" w:rsidRPr="00674908" w:rsidTr="00674908">
        <w:trPr>
          <w:trHeight w:val="408"/>
          <w:jc w:val="center"/>
        </w:trPr>
        <w:tc>
          <w:tcPr>
            <w:tcW w:w="1783" w:type="dxa"/>
            <w:vMerge/>
            <w:shd w:val="clear" w:color="auto" w:fill="auto"/>
            <w:tcMar>
              <w:top w:w="4" w:type="dxa"/>
              <w:left w:w="4" w:type="dxa"/>
              <w:bottom w:w="0" w:type="dxa"/>
              <w:right w:w="4" w:type="dxa"/>
            </w:tcMar>
            <w:vAlign w:val="bottom"/>
            <w:hideMark/>
          </w:tcPr>
          <w:p w:rsidR="00674908" w:rsidRPr="00674908" w:rsidRDefault="00674908" w:rsidP="00853E6E">
            <w:pPr>
              <w:spacing w:line="240" w:lineRule="auto"/>
              <w:jc w:val="left"/>
              <w:rPr>
                <w:color w:val="000000" w:themeColor="text1"/>
                <w:sz w:val="20"/>
                <w:szCs w:val="20"/>
              </w:rPr>
            </w:pPr>
          </w:p>
        </w:tc>
        <w:tc>
          <w:tcPr>
            <w:tcW w:w="6732" w:type="dxa"/>
            <w:shd w:val="clear" w:color="auto" w:fill="auto"/>
            <w:tcMar>
              <w:top w:w="4" w:type="dxa"/>
              <w:left w:w="4" w:type="dxa"/>
              <w:bottom w:w="0" w:type="dxa"/>
              <w:right w:w="4" w:type="dxa"/>
            </w:tcMar>
            <w:vAlign w:val="bottom"/>
            <w:hideMark/>
          </w:tcPr>
          <w:p w:rsidR="00674908" w:rsidRPr="00674908" w:rsidRDefault="00674908" w:rsidP="007413CB">
            <w:pPr>
              <w:spacing w:line="240" w:lineRule="auto"/>
              <w:rPr>
                <w:color w:val="000000" w:themeColor="text1"/>
                <w:sz w:val="20"/>
                <w:szCs w:val="20"/>
              </w:rPr>
            </w:pPr>
            <w:r w:rsidRPr="00674908">
              <w:rPr>
                <w:color w:val="000000" w:themeColor="text1"/>
                <w:sz w:val="20"/>
                <w:szCs w:val="20"/>
              </w:rPr>
              <w:t>High annual worked hours per worker (1994 mean 1</w:t>
            </w:r>
            <w:r>
              <w:rPr>
                <w:color w:val="000000" w:themeColor="text1"/>
                <w:sz w:val="20"/>
                <w:szCs w:val="20"/>
              </w:rPr>
              <w:t> </w:t>
            </w:r>
            <w:r w:rsidRPr="00674908">
              <w:rPr>
                <w:color w:val="000000" w:themeColor="text1"/>
                <w:sz w:val="20"/>
                <w:szCs w:val="20"/>
              </w:rPr>
              <w:t>920</w:t>
            </w:r>
            <w:r>
              <w:rPr>
                <w:color w:val="000000" w:themeColor="text1"/>
                <w:sz w:val="20"/>
                <w:szCs w:val="20"/>
              </w:rPr>
              <w:t>;</w:t>
            </w:r>
            <w:r w:rsidRPr="00674908">
              <w:rPr>
                <w:color w:val="000000" w:themeColor="text1"/>
                <w:sz w:val="20"/>
                <w:szCs w:val="20"/>
              </w:rPr>
              <w:t xml:space="preserve"> 2014 mean 1</w:t>
            </w:r>
            <w:r>
              <w:rPr>
                <w:color w:val="000000" w:themeColor="text1"/>
                <w:sz w:val="20"/>
                <w:szCs w:val="20"/>
              </w:rPr>
              <w:t> </w:t>
            </w:r>
            <w:r w:rsidRPr="00674908">
              <w:rPr>
                <w:color w:val="000000" w:themeColor="text1"/>
                <w:sz w:val="20"/>
                <w:szCs w:val="20"/>
              </w:rPr>
              <w:t>852)</w:t>
            </w:r>
          </w:p>
        </w:tc>
      </w:tr>
      <w:tr w:rsidR="00674908" w:rsidRPr="00674908" w:rsidTr="00674908">
        <w:trPr>
          <w:trHeight w:val="365"/>
          <w:jc w:val="center"/>
        </w:trPr>
        <w:tc>
          <w:tcPr>
            <w:tcW w:w="1783" w:type="dxa"/>
            <w:vMerge w:val="restart"/>
            <w:shd w:val="clear" w:color="auto" w:fill="auto"/>
            <w:tcMar>
              <w:top w:w="4" w:type="dxa"/>
              <w:left w:w="4" w:type="dxa"/>
              <w:bottom w:w="0" w:type="dxa"/>
              <w:right w:w="4" w:type="dxa"/>
            </w:tcMar>
            <w:vAlign w:val="center"/>
            <w:hideMark/>
          </w:tcPr>
          <w:p w:rsidR="00674908" w:rsidRPr="00674908" w:rsidRDefault="00674908" w:rsidP="00853E6E">
            <w:pPr>
              <w:spacing w:line="240" w:lineRule="auto"/>
              <w:jc w:val="left"/>
              <w:rPr>
                <w:color w:val="000000" w:themeColor="text1"/>
                <w:sz w:val="20"/>
                <w:szCs w:val="20"/>
              </w:rPr>
            </w:pPr>
            <w:r w:rsidRPr="00674908">
              <w:rPr>
                <w:b/>
                <w:bCs/>
                <w:color w:val="000000" w:themeColor="text1"/>
                <w:sz w:val="20"/>
                <w:szCs w:val="20"/>
              </w:rPr>
              <w:t>PROFILE 2</w:t>
            </w:r>
          </w:p>
          <w:p w:rsidR="00674908" w:rsidRPr="00674908" w:rsidRDefault="00674908" w:rsidP="00853E6E">
            <w:pPr>
              <w:spacing w:line="240" w:lineRule="auto"/>
              <w:jc w:val="left"/>
              <w:rPr>
                <w:color w:val="000000" w:themeColor="text1"/>
                <w:sz w:val="20"/>
                <w:szCs w:val="20"/>
              </w:rPr>
            </w:pPr>
            <w:r w:rsidRPr="00674908">
              <w:rPr>
                <w:color w:val="000000" w:themeColor="text1"/>
                <w:sz w:val="20"/>
                <w:szCs w:val="20"/>
              </w:rPr>
              <w:t>High GDP</w:t>
            </w:r>
            <w:r>
              <w:rPr>
                <w:color w:val="000000" w:themeColor="text1"/>
                <w:sz w:val="20"/>
                <w:szCs w:val="20"/>
              </w:rPr>
              <w:t xml:space="preserve"> </w:t>
            </w:r>
            <w:r w:rsidRPr="00674908">
              <w:rPr>
                <w:i/>
                <w:color w:val="000000" w:themeColor="text1"/>
                <w:sz w:val="20"/>
                <w:szCs w:val="20"/>
              </w:rPr>
              <w:t>per capita</w:t>
            </w:r>
          </w:p>
        </w:tc>
        <w:tc>
          <w:tcPr>
            <w:tcW w:w="6732" w:type="dxa"/>
            <w:shd w:val="clear" w:color="auto" w:fill="auto"/>
            <w:tcMar>
              <w:top w:w="4" w:type="dxa"/>
              <w:left w:w="4" w:type="dxa"/>
              <w:bottom w:w="0" w:type="dxa"/>
              <w:right w:w="4" w:type="dxa"/>
            </w:tcMar>
            <w:vAlign w:val="bottom"/>
            <w:hideMark/>
          </w:tcPr>
          <w:p w:rsidR="00674908" w:rsidRPr="00674908" w:rsidRDefault="00674908" w:rsidP="007C75C2">
            <w:pPr>
              <w:spacing w:line="240" w:lineRule="auto"/>
              <w:rPr>
                <w:color w:val="000000" w:themeColor="text1"/>
                <w:sz w:val="20"/>
                <w:szCs w:val="20"/>
              </w:rPr>
            </w:pPr>
            <w:r w:rsidRPr="00674908">
              <w:rPr>
                <w:color w:val="000000" w:themeColor="text1"/>
                <w:sz w:val="20"/>
                <w:szCs w:val="20"/>
              </w:rPr>
              <w:t>High share of labour compenasation in GDP (</w:t>
            </w:r>
            <w:r>
              <w:rPr>
                <w:color w:val="000000" w:themeColor="text1"/>
                <w:sz w:val="20"/>
                <w:szCs w:val="20"/>
              </w:rPr>
              <w:t>1994 mean 67.</w:t>
            </w:r>
            <w:r w:rsidRPr="00674908">
              <w:rPr>
                <w:color w:val="000000" w:themeColor="text1"/>
                <w:sz w:val="20"/>
                <w:szCs w:val="20"/>
              </w:rPr>
              <w:t>6</w:t>
            </w:r>
            <w:r>
              <w:rPr>
                <w:color w:val="000000" w:themeColor="text1"/>
                <w:sz w:val="20"/>
                <w:szCs w:val="20"/>
              </w:rPr>
              <w:t>;</w:t>
            </w:r>
            <w:r w:rsidRPr="00674908">
              <w:rPr>
                <w:color w:val="000000" w:themeColor="text1"/>
                <w:sz w:val="20"/>
                <w:szCs w:val="20"/>
              </w:rPr>
              <w:t xml:space="preserve"> 2014 </w:t>
            </w:r>
            <w:proofErr w:type="gramStart"/>
            <w:r>
              <w:rPr>
                <w:color w:val="000000" w:themeColor="text1"/>
                <w:sz w:val="20"/>
                <w:szCs w:val="20"/>
              </w:rPr>
              <w:t>mean</w:t>
            </w:r>
            <w:proofErr w:type="gramEnd"/>
            <w:r>
              <w:rPr>
                <w:color w:val="000000" w:themeColor="text1"/>
                <w:sz w:val="20"/>
                <w:szCs w:val="20"/>
              </w:rPr>
              <w:t xml:space="preserve"> 66.</w:t>
            </w:r>
            <w:r w:rsidRPr="00674908">
              <w:rPr>
                <w:color w:val="000000" w:themeColor="text1"/>
                <w:sz w:val="20"/>
                <w:szCs w:val="20"/>
              </w:rPr>
              <w:t>9%)</w:t>
            </w:r>
          </w:p>
        </w:tc>
      </w:tr>
      <w:tr w:rsidR="00674908" w:rsidRPr="00674908" w:rsidTr="00674908">
        <w:trPr>
          <w:trHeight w:val="365"/>
          <w:jc w:val="center"/>
        </w:trPr>
        <w:tc>
          <w:tcPr>
            <w:tcW w:w="1783" w:type="dxa"/>
            <w:vMerge/>
            <w:shd w:val="clear" w:color="auto" w:fill="auto"/>
            <w:tcMar>
              <w:top w:w="4" w:type="dxa"/>
              <w:left w:w="4" w:type="dxa"/>
              <w:bottom w:w="0" w:type="dxa"/>
              <w:right w:w="4" w:type="dxa"/>
            </w:tcMar>
            <w:vAlign w:val="bottom"/>
            <w:hideMark/>
          </w:tcPr>
          <w:p w:rsidR="00674908" w:rsidRPr="00674908" w:rsidRDefault="00674908" w:rsidP="00674908">
            <w:pPr>
              <w:spacing w:line="240" w:lineRule="auto"/>
              <w:rPr>
                <w:color w:val="000000" w:themeColor="text1"/>
                <w:sz w:val="20"/>
                <w:szCs w:val="20"/>
              </w:rPr>
            </w:pPr>
          </w:p>
        </w:tc>
        <w:tc>
          <w:tcPr>
            <w:tcW w:w="6732" w:type="dxa"/>
            <w:shd w:val="clear" w:color="auto" w:fill="auto"/>
            <w:tcMar>
              <w:top w:w="4" w:type="dxa"/>
              <w:left w:w="4" w:type="dxa"/>
              <w:bottom w:w="0" w:type="dxa"/>
              <w:right w:w="4" w:type="dxa"/>
            </w:tcMar>
            <w:vAlign w:val="bottom"/>
            <w:hideMark/>
          </w:tcPr>
          <w:p w:rsidR="00674908" w:rsidRPr="00674908" w:rsidRDefault="00674908" w:rsidP="006030E5">
            <w:pPr>
              <w:spacing w:line="240" w:lineRule="auto"/>
              <w:rPr>
                <w:color w:val="000000" w:themeColor="text1"/>
                <w:sz w:val="20"/>
                <w:szCs w:val="20"/>
              </w:rPr>
            </w:pPr>
            <w:r w:rsidRPr="00674908">
              <w:rPr>
                <w:bCs/>
                <w:color w:val="000000" w:themeColor="text1"/>
                <w:sz w:val="20"/>
                <w:szCs w:val="20"/>
              </w:rPr>
              <w:t>High level of labour productivity per person (1994 mean 77</w:t>
            </w:r>
            <w:r>
              <w:rPr>
                <w:bCs/>
                <w:color w:val="000000" w:themeColor="text1"/>
                <w:sz w:val="20"/>
                <w:szCs w:val="20"/>
              </w:rPr>
              <w:t> </w:t>
            </w:r>
            <w:r w:rsidRPr="00674908">
              <w:rPr>
                <w:bCs/>
                <w:color w:val="000000" w:themeColor="text1"/>
                <w:sz w:val="20"/>
                <w:szCs w:val="20"/>
              </w:rPr>
              <w:t>553</w:t>
            </w:r>
            <w:r>
              <w:rPr>
                <w:bCs/>
                <w:color w:val="000000" w:themeColor="text1"/>
                <w:sz w:val="20"/>
                <w:szCs w:val="20"/>
              </w:rPr>
              <w:t>;</w:t>
            </w:r>
            <w:r w:rsidRPr="00674908">
              <w:rPr>
                <w:bCs/>
                <w:color w:val="000000" w:themeColor="text1"/>
                <w:sz w:val="20"/>
                <w:szCs w:val="20"/>
              </w:rPr>
              <w:t xml:space="preserve"> 2014 mean 94</w:t>
            </w:r>
            <w:r>
              <w:rPr>
                <w:bCs/>
                <w:color w:val="000000" w:themeColor="text1"/>
                <w:sz w:val="20"/>
                <w:szCs w:val="20"/>
              </w:rPr>
              <w:t> </w:t>
            </w:r>
            <w:r w:rsidRPr="00674908">
              <w:rPr>
                <w:bCs/>
                <w:color w:val="000000" w:themeColor="text1"/>
                <w:sz w:val="20"/>
                <w:szCs w:val="20"/>
              </w:rPr>
              <w:t>515)</w:t>
            </w:r>
          </w:p>
        </w:tc>
      </w:tr>
      <w:tr w:rsidR="00674908" w:rsidRPr="00674908" w:rsidTr="00674908">
        <w:trPr>
          <w:trHeight w:val="399"/>
          <w:jc w:val="center"/>
        </w:trPr>
        <w:tc>
          <w:tcPr>
            <w:tcW w:w="1783" w:type="dxa"/>
            <w:vMerge/>
            <w:shd w:val="clear" w:color="auto" w:fill="auto"/>
            <w:tcMar>
              <w:top w:w="4" w:type="dxa"/>
              <w:left w:w="4" w:type="dxa"/>
              <w:bottom w:w="0" w:type="dxa"/>
              <w:right w:w="4" w:type="dxa"/>
            </w:tcMar>
            <w:vAlign w:val="bottom"/>
            <w:hideMark/>
          </w:tcPr>
          <w:p w:rsidR="00674908" w:rsidRPr="00674908" w:rsidRDefault="00674908" w:rsidP="00812E90">
            <w:pPr>
              <w:spacing w:line="240" w:lineRule="auto"/>
              <w:rPr>
                <w:color w:val="000000" w:themeColor="text1"/>
                <w:sz w:val="20"/>
                <w:szCs w:val="20"/>
              </w:rPr>
            </w:pPr>
          </w:p>
        </w:tc>
        <w:tc>
          <w:tcPr>
            <w:tcW w:w="6732" w:type="dxa"/>
            <w:shd w:val="clear" w:color="auto" w:fill="auto"/>
            <w:tcMar>
              <w:top w:w="4" w:type="dxa"/>
              <w:left w:w="4" w:type="dxa"/>
              <w:bottom w:w="0" w:type="dxa"/>
              <w:right w:w="4" w:type="dxa"/>
            </w:tcMar>
            <w:vAlign w:val="bottom"/>
            <w:hideMark/>
          </w:tcPr>
          <w:p w:rsidR="00674908" w:rsidRPr="00674908" w:rsidRDefault="00674908" w:rsidP="006030E5">
            <w:pPr>
              <w:spacing w:line="240" w:lineRule="auto"/>
              <w:rPr>
                <w:color w:val="000000" w:themeColor="text1"/>
                <w:sz w:val="20"/>
                <w:szCs w:val="20"/>
              </w:rPr>
            </w:pPr>
            <w:r w:rsidRPr="00674908">
              <w:rPr>
                <w:color w:val="000000" w:themeColor="text1"/>
                <w:sz w:val="20"/>
                <w:szCs w:val="20"/>
              </w:rPr>
              <w:t>Low annual worked hours per worker (1994 mean 1</w:t>
            </w:r>
            <w:r>
              <w:rPr>
                <w:color w:val="000000" w:themeColor="text1"/>
                <w:sz w:val="20"/>
                <w:szCs w:val="20"/>
              </w:rPr>
              <w:t> </w:t>
            </w:r>
            <w:r w:rsidRPr="00674908">
              <w:rPr>
                <w:color w:val="000000" w:themeColor="text1"/>
                <w:sz w:val="20"/>
                <w:szCs w:val="20"/>
              </w:rPr>
              <w:t>676</w:t>
            </w:r>
            <w:r>
              <w:rPr>
                <w:color w:val="000000" w:themeColor="text1"/>
                <w:sz w:val="20"/>
                <w:szCs w:val="20"/>
              </w:rPr>
              <w:t>;</w:t>
            </w:r>
            <w:r w:rsidRPr="00674908">
              <w:rPr>
                <w:color w:val="000000" w:themeColor="text1"/>
                <w:sz w:val="20"/>
                <w:szCs w:val="20"/>
              </w:rPr>
              <w:t xml:space="preserve"> 2014 mean 1</w:t>
            </w:r>
            <w:r>
              <w:rPr>
                <w:color w:val="000000" w:themeColor="text1"/>
                <w:sz w:val="20"/>
                <w:szCs w:val="20"/>
              </w:rPr>
              <w:t> </w:t>
            </w:r>
            <w:r w:rsidRPr="00674908">
              <w:rPr>
                <w:color w:val="000000" w:themeColor="text1"/>
                <w:sz w:val="20"/>
                <w:szCs w:val="20"/>
              </w:rPr>
              <w:t>565)</w:t>
            </w:r>
          </w:p>
        </w:tc>
      </w:tr>
    </w:tbl>
    <w:p w:rsidR="00674908" w:rsidRPr="005A29A8" w:rsidRDefault="00674908" w:rsidP="00674908">
      <w:pPr>
        <w:spacing w:line="240" w:lineRule="auto"/>
        <w:ind w:left="284"/>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C622E1" w:rsidRDefault="00C622E1" w:rsidP="00EF5367">
      <w:pPr>
        <w:spacing w:after="0"/>
      </w:pPr>
    </w:p>
    <w:p w:rsidR="00ED09EE" w:rsidRPr="004F6BD4" w:rsidRDefault="00853E6E" w:rsidP="00852C21">
      <w:pPr>
        <w:spacing w:after="0"/>
        <w:ind w:firstLine="284"/>
        <w:rPr>
          <w:color w:val="000000"/>
        </w:rPr>
      </w:pPr>
      <w:r>
        <w:rPr>
          <w:color w:val="000000"/>
        </w:rPr>
        <w:t>In the analysed period both profiles were characterized by decreasing dispersion assessed by the measure of d</w:t>
      </w:r>
      <w:r>
        <w:t xml:space="preserve">ifferentiation </w:t>
      </w:r>
      <w:r w:rsidRPr="00853E6E">
        <w:rPr>
          <w:i/>
        </w:rPr>
        <w:t>Q</w:t>
      </w:r>
      <w:r>
        <w:t>:</w:t>
      </w:r>
    </w:p>
    <w:p w:rsidR="00ED09EE" w:rsidRDefault="00ED09EE" w:rsidP="00852C21">
      <w:pPr>
        <w:tabs>
          <w:tab w:val="center" w:pos="4536"/>
          <w:tab w:val="right" w:pos="9071"/>
        </w:tabs>
        <w:spacing w:after="0"/>
      </w:pPr>
      <w:r>
        <w:tab/>
      </w:r>
      <w:r w:rsidRPr="004574A2">
        <w:rPr>
          <w:position w:val="-28"/>
        </w:rPr>
        <w:object w:dxaOrig="1640" w:dyaOrig="700">
          <v:shape id="_x0000_i1025" type="#_x0000_t75" style="width:81.75pt;height:35.25pt" o:ole="">
            <v:imagedata r:id="rId15" o:title=""/>
          </v:shape>
          <o:OLEObject Type="Embed" ProgID="Equation.3" ShapeID="_x0000_i1025" DrawAspect="Content" ObjectID="_1520028341" r:id="rId16"/>
        </w:object>
      </w:r>
      <w:r>
        <w:t>,</w:t>
      </w:r>
      <w:r>
        <w:tab/>
        <w:t>(1)</w:t>
      </w:r>
    </w:p>
    <w:p w:rsidR="00ED09EE" w:rsidRDefault="00853E6E" w:rsidP="00852C21">
      <w:pPr>
        <w:spacing w:after="0"/>
      </w:pPr>
      <w:proofErr w:type="gramStart"/>
      <w:r>
        <w:t>where</w:t>
      </w:r>
      <w:proofErr w:type="gramEnd"/>
      <w:r w:rsidR="00ED09EE">
        <w:t>:</w:t>
      </w:r>
    </w:p>
    <w:p w:rsidR="00ED09EE" w:rsidRDefault="00ED09EE" w:rsidP="00852C21">
      <w:pPr>
        <w:spacing w:after="0"/>
        <w:ind w:left="284"/>
      </w:pPr>
      <w:proofErr w:type="gramStart"/>
      <w:r w:rsidRPr="0007600A">
        <w:rPr>
          <w:i/>
        </w:rPr>
        <w:t>r</w:t>
      </w:r>
      <w:proofErr w:type="gramEnd"/>
      <w:r>
        <w:t xml:space="preserve"> – </w:t>
      </w:r>
      <w:r w:rsidR="00853E6E">
        <w:t xml:space="preserve">group </w:t>
      </w:r>
      <w:r>
        <w:t>num</w:t>
      </w:r>
      <w:r w:rsidR="00853E6E">
        <w:t>b</w:t>
      </w:r>
      <w:r>
        <w:t>er (</w:t>
      </w:r>
      <w:r w:rsidRPr="0007600A">
        <w:rPr>
          <w:i/>
        </w:rPr>
        <w:t>r</w:t>
      </w:r>
      <w:r>
        <w:t xml:space="preserve"> = 1, 2, …, </w:t>
      </w:r>
      <w:r w:rsidRPr="0007600A">
        <w:rPr>
          <w:i/>
        </w:rPr>
        <w:t>k</w:t>
      </w:r>
      <w:r>
        <w:t>),</w:t>
      </w:r>
    </w:p>
    <w:p w:rsidR="00ED09EE" w:rsidRDefault="00ED09EE" w:rsidP="00852C21">
      <w:pPr>
        <w:spacing w:after="0"/>
        <w:ind w:left="284"/>
      </w:pPr>
      <w:proofErr w:type="gramStart"/>
      <w:r w:rsidRPr="0007600A">
        <w:rPr>
          <w:i/>
        </w:rPr>
        <w:t>n</w:t>
      </w:r>
      <w:r>
        <w:rPr>
          <w:vertAlign w:val="subscript"/>
        </w:rPr>
        <w:t>r</w:t>
      </w:r>
      <w:proofErr w:type="gramEnd"/>
      <w:r>
        <w:t xml:space="preserve"> – </w:t>
      </w:r>
      <w:r w:rsidR="00852C21">
        <w:t xml:space="preserve">size </w:t>
      </w:r>
      <w:r w:rsidR="00852C21">
        <w:t xml:space="preserve">of group </w:t>
      </w:r>
      <w:r w:rsidRPr="0007600A">
        <w:rPr>
          <w:i/>
        </w:rPr>
        <w:t>r</w:t>
      </w:r>
      <w:r>
        <w:t>,</w:t>
      </w:r>
    </w:p>
    <w:p w:rsidR="00ED09EE" w:rsidRDefault="00ED09EE" w:rsidP="00852C21">
      <w:pPr>
        <w:spacing w:after="0"/>
        <w:ind w:left="284"/>
      </w:pPr>
      <w:proofErr w:type="gramStart"/>
      <w:r w:rsidRPr="0007600A">
        <w:rPr>
          <w:i/>
        </w:rPr>
        <w:t>i</w:t>
      </w:r>
      <w:proofErr w:type="gramEnd"/>
      <w:r>
        <w:t xml:space="preserve"> – </w:t>
      </w:r>
      <w:r w:rsidR="00852C21">
        <w:t xml:space="preserve">object </w:t>
      </w:r>
      <w:r>
        <w:t>num</w:t>
      </w:r>
      <w:r w:rsidR="00852C21">
        <w:t>b</w:t>
      </w:r>
      <w:r>
        <w:t>er,</w:t>
      </w:r>
    </w:p>
    <w:p w:rsidR="00ED09EE" w:rsidRPr="004574A2" w:rsidRDefault="00ED09EE" w:rsidP="00852C21">
      <w:pPr>
        <w:spacing w:after="0"/>
        <w:ind w:left="284"/>
      </w:pPr>
      <w:r w:rsidRPr="004574A2">
        <w:rPr>
          <w:position w:val="-14"/>
        </w:rPr>
        <w:object w:dxaOrig="380" w:dyaOrig="360">
          <v:shape id="_x0000_i1026" type="#_x0000_t75" style="width:18.75pt;height:18pt" o:ole="">
            <v:imagedata r:id="rId17" o:title=""/>
          </v:shape>
          <o:OLEObject Type="Embed" ProgID="Equation.3" ShapeID="_x0000_i1026" DrawAspect="Content" ObjectID="_1520028342" r:id="rId18"/>
        </w:object>
      </w:r>
      <w:r>
        <w:t xml:space="preserve"> </w:t>
      </w:r>
      <w:r w:rsidR="00852C21">
        <w:t>–</w:t>
      </w:r>
      <w:r>
        <w:t xml:space="preserve"> </w:t>
      </w:r>
      <w:r w:rsidR="00852C21">
        <w:t xml:space="preserve">distance between object </w:t>
      </w:r>
      <w:r w:rsidRPr="0007600A">
        <w:rPr>
          <w:i/>
        </w:rPr>
        <w:t>i</w:t>
      </w:r>
      <w:r>
        <w:t xml:space="preserve"> </w:t>
      </w:r>
      <w:r w:rsidR="00852C21">
        <w:t xml:space="preserve">and centroid of group </w:t>
      </w:r>
      <w:r w:rsidRPr="0007600A">
        <w:rPr>
          <w:i/>
        </w:rPr>
        <w:t>r</w:t>
      </w:r>
      <w:r>
        <w:t>.</w:t>
      </w:r>
    </w:p>
    <w:p w:rsidR="00853E6E" w:rsidRDefault="00853E6E" w:rsidP="00852C21">
      <w:pPr>
        <w:spacing w:after="0" w:line="240" w:lineRule="auto"/>
        <w:jc w:val="center"/>
      </w:pPr>
      <w:r>
        <w:lastRenderedPageBreak/>
        <w:t xml:space="preserve">Table </w:t>
      </w:r>
      <w:r>
        <w:t>2</w:t>
      </w:r>
      <w:r>
        <w:t xml:space="preserve">. </w:t>
      </w:r>
      <w:r>
        <w:t>Differentiation of profiles (</w:t>
      </w:r>
      <w:r w:rsidRPr="00853E6E">
        <w:rPr>
          <w:rFonts w:cs="Times New Roman"/>
          <w:i/>
        </w:rPr>
        <w:t>Q</w:t>
      </w:r>
      <w:r>
        <w:t xml:space="preserve"> value) in 1994, 2004 and 2014</w:t>
      </w:r>
    </w:p>
    <w:tbl>
      <w:tblPr>
        <w:tblW w:w="3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456"/>
        <w:gridCol w:w="670"/>
        <w:gridCol w:w="600"/>
        <w:gridCol w:w="714"/>
      </w:tblGrid>
      <w:tr w:rsidR="00F6298E" w:rsidRPr="00F6298E" w:rsidTr="00853E6E">
        <w:trPr>
          <w:trHeight w:val="472"/>
          <w:jc w:val="center"/>
        </w:trPr>
        <w:tc>
          <w:tcPr>
            <w:tcW w:w="1456" w:type="dxa"/>
            <w:shd w:val="clear" w:color="auto" w:fill="auto"/>
            <w:tcMar>
              <w:top w:w="15" w:type="dxa"/>
              <w:left w:w="15" w:type="dxa"/>
              <w:bottom w:w="0" w:type="dxa"/>
              <w:right w:w="15" w:type="dxa"/>
            </w:tcMar>
            <w:vAlign w:val="center"/>
            <w:hideMark/>
          </w:tcPr>
          <w:p w:rsidR="00F6298E" w:rsidRPr="00F6298E" w:rsidRDefault="00853E6E" w:rsidP="00853E6E">
            <w:pPr>
              <w:spacing w:after="0" w:line="240" w:lineRule="auto"/>
              <w:rPr>
                <w:sz w:val="20"/>
                <w:szCs w:val="20"/>
              </w:rPr>
            </w:pPr>
            <w:r>
              <w:rPr>
                <w:sz w:val="20"/>
                <w:szCs w:val="20"/>
              </w:rPr>
              <w:t>PROFILE / Year</w:t>
            </w:r>
          </w:p>
        </w:tc>
        <w:tc>
          <w:tcPr>
            <w:tcW w:w="670" w:type="dxa"/>
            <w:shd w:val="clear" w:color="auto" w:fill="auto"/>
            <w:tcMar>
              <w:top w:w="15" w:type="dxa"/>
              <w:left w:w="15" w:type="dxa"/>
              <w:bottom w:w="0" w:type="dxa"/>
              <w:right w:w="15" w:type="dxa"/>
            </w:tcMar>
            <w:vAlign w:val="center"/>
            <w:hideMark/>
          </w:tcPr>
          <w:p w:rsidR="00F6298E" w:rsidRPr="00F6298E" w:rsidRDefault="001B644A" w:rsidP="00F6298E">
            <w:pPr>
              <w:spacing w:after="0" w:line="240" w:lineRule="auto"/>
              <w:jc w:val="center"/>
              <w:rPr>
                <w:sz w:val="20"/>
                <w:szCs w:val="20"/>
              </w:rPr>
            </w:pPr>
            <w:r>
              <w:rPr>
                <w:sz w:val="20"/>
                <w:szCs w:val="20"/>
              </w:rPr>
              <w:t>1994</w:t>
            </w:r>
          </w:p>
        </w:tc>
        <w:tc>
          <w:tcPr>
            <w:tcW w:w="600" w:type="dxa"/>
            <w:shd w:val="clear" w:color="auto" w:fill="auto"/>
            <w:tcMar>
              <w:top w:w="15" w:type="dxa"/>
              <w:left w:w="15" w:type="dxa"/>
              <w:bottom w:w="0" w:type="dxa"/>
              <w:right w:w="15" w:type="dxa"/>
            </w:tcMar>
            <w:vAlign w:val="center"/>
            <w:hideMark/>
          </w:tcPr>
          <w:p w:rsidR="00F6298E" w:rsidRPr="00F6298E" w:rsidRDefault="001B644A" w:rsidP="00F6298E">
            <w:pPr>
              <w:spacing w:after="0" w:line="240" w:lineRule="auto"/>
              <w:jc w:val="center"/>
              <w:rPr>
                <w:sz w:val="20"/>
                <w:szCs w:val="20"/>
              </w:rPr>
            </w:pPr>
            <w:r>
              <w:rPr>
                <w:sz w:val="20"/>
                <w:szCs w:val="20"/>
              </w:rPr>
              <w:t>2004</w:t>
            </w:r>
          </w:p>
        </w:tc>
        <w:tc>
          <w:tcPr>
            <w:tcW w:w="714" w:type="dxa"/>
            <w:shd w:val="clear" w:color="auto" w:fill="auto"/>
            <w:tcMar>
              <w:top w:w="15" w:type="dxa"/>
              <w:left w:w="15" w:type="dxa"/>
              <w:bottom w:w="0" w:type="dxa"/>
              <w:right w:w="15" w:type="dxa"/>
            </w:tcMar>
            <w:vAlign w:val="center"/>
            <w:hideMark/>
          </w:tcPr>
          <w:p w:rsidR="00F6298E" w:rsidRPr="00F6298E" w:rsidRDefault="00F6298E" w:rsidP="00F6298E">
            <w:pPr>
              <w:spacing w:after="0" w:line="240" w:lineRule="auto"/>
              <w:jc w:val="center"/>
              <w:rPr>
                <w:sz w:val="20"/>
                <w:szCs w:val="20"/>
              </w:rPr>
            </w:pPr>
            <w:r w:rsidRPr="00F6298E">
              <w:rPr>
                <w:sz w:val="20"/>
                <w:szCs w:val="20"/>
              </w:rPr>
              <w:t>2014</w:t>
            </w:r>
          </w:p>
        </w:tc>
      </w:tr>
      <w:tr w:rsidR="00A22FFE" w:rsidRPr="00F6298E" w:rsidTr="00853E6E">
        <w:trPr>
          <w:trHeight w:val="472"/>
          <w:jc w:val="center"/>
        </w:trPr>
        <w:tc>
          <w:tcPr>
            <w:tcW w:w="1456" w:type="dxa"/>
            <w:shd w:val="clear" w:color="auto" w:fill="auto"/>
            <w:tcMar>
              <w:top w:w="15" w:type="dxa"/>
              <w:left w:w="15" w:type="dxa"/>
              <w:bottom w:w="0" w:type="dxa"/>
              <w:right w:w="15" w:type="dxa"/>
            </w:tcMar>
            <w:vAlign w:val="center"/>
            <w:hideMark/>
          </w:tcPr>
          <w:p w:rsidR="00A22FFE" w:rsidRPr="00F6298E" w:rsidRDefault="00F739E9" w:rsidP="00853E6E">
            <w:pPr>
              <w:spacing w:after="0" w:line="240" w:lineRule="auto"/>
              <w:rPr>
                <w:sz w:val="20"/>
                <w:szCs w:val="20"/>
              </w:rPr>
            </w:pPr>
            <w:r>
              <w:rPr>
                <w:sz w:val="20"/>
                <w:szCs w:val="20"/>
              </w:rPr>
              <w:t>P</w:t>
            </w:r>
            <w:r w:rsidR="00853E6E">
              <w:rPr>
                <w:sz w:val="20"/>
                <w:szCs w:val="20"/>
              </w:rPr>
              <w:t>ROFILE</w:t>
            </w:r>
            <w:r>
              <w:rPr>
                <w:sz w:val="20"/>
                <w:szCs w:val="20"/>
              </w:rPr>
              <w:t xml:space="preserve"> 1</w:t>
            </w:r>
          </w:p>
        </w:tc>
        <w:tc>
          <w:tcPr>
            <w:tcW w:w="670"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1,362</w:t>
            </w:r>
          </w:p>
        </w:tc>
        <w:tc>
          <w:tcPr>
            <w:tcW w:w="600"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1,258</w:t>
            </w:r>
          </w:p>
        </w:tc>
        <w:tc>
          <w:tcPr>
            <w:tcW w:w="714"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1,136</w:t>
            </w:r>
          </w:p>
        </w:tc>
      </w:tr>
      <w:tr w:rsidR="00A22FFE" w:rsidRPr="00F6298E" w:rsidTr="00853E6E">
        <w:trPr>
          <w:trHeight w:val="472"/>
          <w:jc w:val="center"/>
        </w:trPr>
        <w:tc>
          <w:tcPr>
            <w:tcW w:w="1456" w:type="dxa"/>
            <w:shd w:val="clear" w:color="auto" w:fill="auto"/>
            <w:tcMar>
              <w:top w:w="15" w:type="dxa"/>
              <w:left w:w="15" w:type="dxa"/>
              <w:bottom w:w="0" w:type="dxa"/>
              <w:right w:w="15" w:type="dxa"/>
            </w:tcMar>
            <w:vAlign w:val="center"/>
            <w:hideMark/>
          </w:tcPr>
          <w:p w:rsidR="00A22FFE" w:rsidRPr="00F6298E" w:rsidRDefault="00853E6E" w:rsidP="00A22FFE">
            <w:pPr>
              <w:spacing w:after="0" w:line="240" w:lineRule="auto"/>
              <w:rPr>
                <w:sz w:val="20"/>
                <w:szCs w:val="20"/>
              </w:rPr>
            </w:pPr>
            <w:r>
              <w:rPr>
                <w:sz w:val="20"/>
                <w:szCs w:val="20"/>
              </w:rPr>
              <w:t>PROFILE</w:t>
            </w:r>
            <w:r>
              <w:rPr>
                <w:sz w:val="20"/>
                <w:szCs w:val="20"/>
              </w:rPr>
              <w:t xml:space="preserve"> </w:t>
            </w:r>
            <w:r w:rsidR="00F739E9">
              <w:rPr>
                <w:sz w:val="20"/>
                <w:szCs w:val="20"/>
              </w:rPr>
              <w:t>2</w:t>
            </w:r>
          </w:p>
        </w:tc>
        <w:tc>
          <w:tcPr>
            <w:tcW w:w="670"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1,068</w:t>
            </w:r>
          </w:p>
        </w:tc>
        <w:tc>
          <w:tcPr>
            <w:tcW w:w="600"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1,005</w:t>
            </w:r>
          </w:p>
        </w:tc>
        <w:tc>
          <w:tcPr>
            <w:tcW w:w="714"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0,973</w:t>
            </w:r>
          </w:p>
        </w:tc>
      </w:tr>
      <w:tr w:rsidR="00A22FFE" w:rsidRPr="00F6298E" w:rsidTr="00853E6E">
        <w:trPr>
          <w:trHeight w:val="472"/>
          <w:jc w:val="center"/>
        </w:trPr>
        <w:tc>
          <w:tcPr>
            <w:tcW w:w="1456" w:type="dxa"/>
            <w:shd w:val="clear" w:color="auto" w:fill="auto"/>
            <w:tcMar>
              <w:top w:w="15" w:type="dxa"/>
              <w:left w:w="15" w:type="dxa"/>
              <w:bottom w:w="0" w:type="dxa"/>
              <w:right w:w="15" w:type="dxa"/>
            </w:tcMar>
            <w:vAlign w:val="center"/>
          </w:tcPr>
          <w:p w:rsidR="00A22FFE" w:rsidRDefault="00F739E9" w:rsidP="00A22FFE">
            <w:pPr>
              <w:spacing w:after="0" w:line="240" w:lineRule="auto"/>
              <w:rPr>
                <w:sz w:val="20"/>
                <w:szCs w:val="20"/>
              </w:rPr>
            </w:pPr>
            <w:r>
              <w:rPr>
                <w:sz w:val="20"/>
                <w:szCs w:val="20"/>
              </w:rPr>
              <w:t>Total</w:t>
            </w:r>
          </w:p>
        </w:tc>
        <w:tc>
          <w:tcPr>
            <w:tcW w:w="670"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2,430</w:t>
            </w:r>
          </w:p>
        </w:tc>
        <w:tc>
          <w:tcPr>
            <w:tcW w:w="600"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2,263</w:t>
            </w:r>
          </w:p>
        </w:tc>
        <w:tc>
          <w:tcPr>
            <w:tcW w:w="714" w:type="dxa"/>
            <w:shd w:val="clear" w:color="auto" w:fill="auto"/>
            <w:tcMar>
              <w:top w:w="15" w:type="dxa"/>
              <w:left w:w="15" w:type="dxa"/>
              <w:bottom w:w="0" w:type="dxa"/>
              <w:right w:w="15" w:type="dxa"/>
            </w:tcMar>
            <w:vAlign w:val="center"/>
          </w:tcPr>
          <w:p w:rsidR="00A22FFE" w:rsidRPr="00A22FFE" w:rsidRDefault="00A22FFE" w:rsidP="00853E6E">
            <w:pPr>
              <w:spacing w:after="0" w:line="240" w:lineRule="auto"/>
              <w:jc w:val="right"/>
              <w:rPr>
                <w:sz w:val="20"/>
                <w:szCs w:val="20"/>
              </w:rPr>
            </w:pPr>
            <w:r w:rsidRPr="00A22FFE">
              <w:rPr>
                <w:sz w:val="20"/>
                <w:szCs w:val="20"/>
              </w:rPr>
              <w:t>2,109</w:t>
            </w:r>
          </w:p>
        </w:tc>
      </w:tr>
    </w:tbl>
    <w:p w:rsidR="00852C21" w:rsidRPr="005A29A8" w:rsidRDefault="00852C21" w:rsidP="00852C21">
      <w:pPr>
        <w:spacing w:line="240" w:lineRule="auto"/>
        <w:ind w:left="284"/>
        <w:rPr>
          <w:sz w:val="20"/>
          <w:szCs w:val="20"/>
        </w:rPr>
      </w:pPr>
      <w:r w:rsidRPr="005A29A8">
        <w:rPr>
          <w:sz w:val="20"/>
          <w:szCs w:val="20"/>
        </w:rPr>
        <w:t xml:space="preserve">Source: own calculations based on </w:t>
      </w:r>
      <w:r>
        <w:rPr>
          <w:sz w:val="20"/>
          <w:szCs w:val="20"/>
        </w:rPr>
        <w:t xml:space="preserve">data from </w:t>
      </w:r>
      <w:r w:rsidRPr="005A29A8">
        <w:rPr>
          <w:rFonts w:cs="Times New Roman"/>
          <w:sz w:val="20"/>
          <w:szCs w:val="20"/>
        </w:rPr>
        <w:t>The Conference Board Total Economy Database™, May 2015.</w:t>
      </w:r>
    </w:p>
    <w:p w:rsidR="00853E6E" w:rsidRDefault="00853E6E" w:rsidP="00852C21">
      <w:pPr>
        <w:spacing w:after="0"/>
        <w:rPr>
          <w:rFonts w:cs="Times New Roman"/>
        </w:rPr>
      </w:pPr>
    </w:p>
    <w:p w:rsidR="00852C21" w:rsidRPr="00852C21" w:rsidRDefault="00852C21" w:rsidP="00852C21">
      <w:pPr>
        <w:spacing w:after="0"/>
        <w:ind w:firstLine="284"/>
        <w:rPr>
          <w:rFonts w:cs="Times New Roman"/>
        </w:rPr>
      </w:pPr>
      <w:r>
        <w:rPr>
          <w:rFonts w:cs="Times New Roman"/>
        </w:rPr>
        <w:t>It means that countries within both groups become more similar to other group members.</w:t>
      </w:r>
    </w:p>
    <w:p w:rsidR="007720AA" w:rsidRPr="00852C21" w:rsidRDefault="007720AA" w:rsidP="00852C21">
      <w:pPr>
        <w:spacing w:after="0"/>
        <w:rPr>
          <w:rFonts w:cs="Times New Roman"/>
        </w:rPr>
      </w:pPr>
    </w:p>
    <w:p w:rsidR="00F6298E" w:rsidRPr="00852C21" w:rsidRDefault="00462D0D" w:rsidP="00852C21">
      <w:pPr>
        <w:spacing w:after="0"/>
        <w:rPr>
          <w:rFonts w:cs="Times New Roman"/>
          <w:b/>
        </w:rPr>
      </w:pPr>
      <w:r w:rsidRPr="00852C21">
        <w:rPr>
          <w:rFonts w:cs="Times New Roman"/>
          <w:b/>
        </w:rPr>
        <w:t>Conclusions</w:t>
      </w:r>
    </w:p>
    <w:p w:rsidR="00402994" w:rsidRPr="00852C21" w:rsidRDefault="009077D6" w:rsidP="004305BB">
      <w:pPr>
        <w:spacing w:after="0"/>
        <w:ind w:firstLine="284"/>
        <w:rPr>
          <w:rFonts w:cs="Times New Roman"/>
        </w:rPr>
      </w:pPr>
      <w:r>
        <w:rPr>
          <w:rFonts w:cs="Times New Roman"/>
        </w:rPr>
        <w:t xml:space="preserve">During last several years we were witnessess of growing labour productivity, decreasing worked hours and decreasing share of labour compensation in GDP in </w:t>
      </w:r>
      <w:r w:rsidR="00462D0D" w:rsidRPr="00852C21">
        <w:rPr>
          <w:rFonts w:cs="Times New Roman"/>
        </w:rPr>
        <w:t xml:space="preserve">the European Union </w:t>
      </w:r>
      <w:r>
        <w:rPr>
          <w:rFonts w:cs="Times New Roman"/>
        </w:rPr>
        <w:t xml:space="preserve">countries. Especially this latter tendency should be consider as a key </w:t>
      </w:r>
      <w:r w:rsidR="004305BB">
        <w:rPr>
          <w:rFonts w:cs="Times New Roman"/>
        </w:rPr>
        <w:t>indicator by European governments. The main reason is that the shrinking importance of labour, may cause growing income inequalities. It could be visible first of all in ageing countries. Although</w:t>
      </w:r>
      <w:r w:rsidR="00702685">
        <w:rPr>
          <w:rFonts w:cs="Times New Roman"/>
        </w:rPr>
        <w:t>,</w:t>
      </w:r>
      <w:r w:rsidR="004305BB">
        <w:rPr>
          <w:rFonts w:cs="Times New Roman"/>
        </w:rPr>
        <w:t xml:space="preserve"> t</w:t>
      </w:r>
      <w:r w:rsidR="00402994" w:rsidRPr="00852C21">
        <w:rPr>
          <w:rFonts w:cs="Times New Roman"/>
        </w:rPr>
        <w:t xml:space="preserve">here are indications that the decline in the </w:t>
      </w:r>
      <w:r w:rsidR="004305BB">
        <w:rPr>
          <w:rFonts w:cs="Times New Roman"/>
        </w:rPr>
        <w:t>labour</w:t>
      </w:r>
      <w:r w:rsidR="00402994" w:rsidRPr="00852C21">
        <w:rPr>
          <w:rFonts w:cs="Times New Roman"/>
        </w:rPr>
        <w:t xml:space="preserve"> share </w:t>
      </w:r>
      <w:r w:rsidR="004305BB">
        <w:rPr>
          <w:rFonts w:cs="Times New Roman"/>
        </w:rPr>
        <w:t xml:space="preserve">not necessarilly is </w:t>
      </w:r>
      <w:r w:rsidR="00402994" w:rsidRPr="00852C21">
        <w:rPr>
          <w:rFonts w:cs="Times New Roman"/>
        </w:rPr>
        <w:t>asso</w:t>
      </w:r>
      <w:r w:rsidR="004305BB">
        <w:rPr>
          <w:rFonts w:cs="Times New Roman"/>
        </w:rPr>
        <w:t>ciated with lower unemployment but</w:t>
      </w:r>
      <w:r w:rsidR="00402994" w:rsidRPr="00852C21">
        <w:rPr>
          <w:rFonts w:cs="Times New Roman"/>
        </w:rPr>
        <w:t xml:space="preserve"> </w:t>
      </w:r>
      <w:r w:rsidR="00702685">
        <w:rPr>
          <w:rFonts w:cs="Times New Roman"/>
        </w:rPr>
        <w:t>it ca</w:t>
      </w:r>
      <w:r w:rsidR="00402994" w:rsidRPr="00852C21">
        <w:rPr>
          <w:rFonts w:cs="Times New Roman"/>
        </w:rPr>
        <w:t xml:space="preserve">n help put the recovery from the global economic crisis on a more sustainable path, without </w:t>
      </w:r>
      <w:r w:rsidR="004305BB">
        <w:rPr>
          <w:rFonts w:cs="Times New Roman"/>
        </w:rPr>
        <w:t>extended</w:t>
      </w:r>
      <w:r w:rsidR="00402994" w:rsidRPr="00852C21">
        <w:rPr>
          <w:rFonts w:cs="Times New Roman"/>
        </w:rPr>
        <w:t xml:space="preserve"> fiscal deficits</w:t>
      </w:r>
      <w:r w:rsidR="004305BB">
        <w:rPr>
          <w:rFonts w:cs="Times New Roman"/>
        </w:rPr>
        <w:t>.</w:t>
      </w:r>
      <w:r w:rsidR="00702685">
        <w:rPr>
          <w:rFonts w:cs="Times New Roman"/>
        </w:rPr>
        <w:t xml:space="preserve"> Received results confirmed also growing similarities of basic characteristics of labour force of European countries. It is an additional argument, besides of observed income convergence, that European Union members demonstrate tendency towards the same structure</w:t>
      </w:r>
      <w:r w:rsidR="009A1BEA">
        <w:rPr>
          <w:rFonts w:cs="Times New Roman"/>
        </w:rPr>
        <w:t xml:space="preserve"> of the economy and similar level of economic development</w:t>
      </w:r>
      <w:r w:rsidR="00702685">
        <w:rPr>
          <w:rFonts w:cs="Times New Roman"/>
        </w:rPr>
        <w:t>.</w:t>
      </w:r>
    </w:p>
    <w:p w:rsidR="00F633D8" w:rsidRDefault="00F633D8">
      <w:r>
        <w:br w:type="page"/>
      </w:r>
    </w:p>
    <w:p w:rsidR="00E45F7C" w:rsidRPr="007F6E52" w:rsidRDefault="00E45F7C">
      <w:pPr>
        <w:rPr>
          <w:b/>
          <w:lang w:val="en-GB"/>
        </w:rPr>
      </w:pPr>
      <w:r w:rsidRPr="007F6E52">
        <w:rPr>
          <w:b/>
          <w:lang w:val="en-GB"/>
        </w:rPr>
        <w:lastRenderedPageBreak/>
        <w:t>References</w:t>
      </w:r>
    </w:p>
    <w:p w:rsidR="00610F36" w:rsidRPr="00FC109E" w:rsidRDefault="00610F36" w:rsidP="00FC109E">
      <w:pPr>
        <w:autoSpaceDE w:val="0"/>
        <w:autoSpaceDN w:val="0"/>
        <w:adjustRightInd w:val="0"/>
        <w:spacing w:after="0" w:line="240" w:lineRule="auto"/>
        <w:ind w:left="284" w:hanging="284"/>
        <w:rPr>
          <w:rFonts w:cs="Times New Roman"/>
          <w:sz w:val="20"/>
          <w:szCs w:val="20"/>
        </w:rPr>
      </w:pPr>
      <w:r w:rsidRPr="00FC109E">
        <w:rPr>
          <w:rFonts w:cs="Times New Roman"/>
          <w:sz w:val="20"/>
          <w:szCs w:val="20"/>
        </w:rPr>
        <w:t>Bassanini A., Manfredi T.</w:t>
      </w:r>
      <w:r w:rsidR="007E0151">
        <w:rPr>
          <w:rFonts w:cs="Times New Roman"/>
          <w:sz w:val="20"/>
          <w:szCs w:val="20"/>
        </w:rPr>
        <w:t xml:space="preserve"> (2012)</w:t>
      </w:r>
      <w:r w:rsidRPr="00FC109E">
        <w:rPr>
          <w:rFonts w:cs="Times New Roman"/>
          <w:sz w:val="20"/>
          <w:szCs w:val="20"/>
        </w:rPr>
        <w:t xml:space="preserve">, </w:t>
      </w:r>
      <w:r w:rsidRPr="00FC109E">
        <w:rPr>
          <w:rFonts w:cs="Times New Roman"/>
          <w:bCs/>
          <w:i/>
          <w:sz w:val="20"/>
          <w:szCs w:val="20"/>
        </w:rPr>
        <w:t>Capital's Grabbing Hand? A Cross-Country/Cross-Industry Analysis of the Decline of the Labour Share</w:t>
      </w:r>
      <w:r w:rsidRPr="00FC109E">
        <w:rPr>
          <w:rFonts w:cs="Times New Roman"/>
          <w:bCs/>
          <w:sz w:val="20"/>
          <w:szCs w:val="20"/>
        </w:rPr>
        <w:t xml:space="preserve">, </w:t>
      </w:r>
      <w:r w:rsidRPr="00FC109E">
        <w:rPr>
          <w:rFonts w:cs="Times New Roman"/>
          <w:iCs/>
          <w:sz w:val="20"/>
          <w:szCs w:val="20"/>
        </w:rPr>
        <w:t>OECD Social, Employment and Migration Working Papers</w:t>
      </w:r>
      <w:r w:rsidR="007E0151">
        <w:rPr>
          <w:rFonts w:cs="Times New Roman"/>
          <w:sz w:val="20"/>
          <w:szCs w:val="20"/>
        </w:rPr>
        <w:t xml:space="preserve">, No. 133, OECD Publishing </w:t>
      </w:r>
      <w:r w:rsidRPr="00FC109E">
        <w:rPr>
          <w:rFonts w:cs="Times New Roman"/>
          <w:sz w:val="20"/>
          <w:szCs w:val="20"/>
        </w:rPr>
        <w:t>(http</w:t>
      </w:r>
      <w:proofErr w:type="gramStart"/>
      <w:r w:rsidRPr="00FC109E">
        <w:rPr>
          <w:rFonts w:cs="Times New Roman"/>
          <w:sz w:val="20"/>
          <w:szCs w:val="20"/>
        </w:rPr>
        <w:t>://dx</w:t>
      </w:r>
      <w:proofErr w:type="gramEnd"/>
      <w:r w:rsidRPr="00FC109E">
        <w:rPr>
          <w:rFonts w:cs="Times New Roman"/>
          <w:sz w:val="20"/>
          <w:szCs w:val="20"/>
        </w:rPr>
        <w:t>.</w:t>
      </w:r>
      <w:proofErr w:type="gramStart"/>
      <w:r w:rsidRPr="00FC109E">
        <w:rPr>
          <w:rFonts w:cs="Times New Roman"/>
          <w:sz w:val="20"/>
          <w:szCs w:val="20"/>
        </w:rPr>
        <w:t>doi</w:t>
      </w:r>
      <w:proofErr w:type="gramEnd"/>
      <w:r w:rsidRPr="00FC109E">
        <w:rPr>
          <w:rFonts w:cs="Times New Roman"/>
          <w:sz w:val="20"/>
          <w:szCs w:val="20"/>
        </w:rPr>
        <w:t>.</w:t>
      </w:r>
      <w:proofErr w:type="gramStart"/>
      <w:r w:rsidRPr="00FC109E">
        <w:rPr>
          <w:rFonts w:cs="Times New Roman"/>
          <w:sz w:val="20"/>
          <w:szCs w:val="20"/>
        </w:rPr>
        <w:t>org</w:t>
      </w:r>
      <w:proofErr w:type="gramEnd"/>
      <w:r w:rsidRPr="00FC109E">
        <w:rPr>
          <w:rFonts w:cs="Times New Roman"/>
          <w:sz w:val="20"/>
          <w:szCs w:val="20"/>
        </w:rPr>
        <w:t>/10.1787/5k95zqsf4bxt-en).</w:t>
      </w:r>
    </w:p>
    <w:p w:rsidR="00610F36" w:rsidRPr="00FC109E" w:rsidRDefault="00610F36" w:rsidP="00FC109E">
      <w:pPr>
        <w:spacing w:after="0" w:line="240" w:lineRule="auto"/>
        <w:ind w:left="284" w:hanging="284"/>
        <w:rPr>
          <w:sz w:val="20"/>
          <w:szCs w:val="20"/>
          <w:lang w:val="en-US"/>
        </w:rPr>
      </w:pPr>
      <w:r w:rsidRPr="00FC109E">
        <w:rPr>
          <w:sz w:val="20"/>
          <w:szCs w:val="20"/>
          <w:lang w:val="en-US"/>
        </w:rPr>
        <w:t>Batóg J., Batóg B.</w:t>
      </w:r>
      <w:r w:rsidR="007E0151">
        <w:rPr>
          <w:sz w:val="20"/>
          <w:szCs w:val="20"/>
          <w:lang w:val="en-US"/>
        </w:rPr>
        <w:t xml:space="preserve"> (2007)</w:t>
      </w:r>
      <w:r w:rsidRPr="00FC109E">
        <w:rPr>
          <w:sz w:val="20"/>
          <w:szCs w:val="20"/>
          <w:lang w:val="en-US"/>
        </w:rPr>
        <w:t>,</w:t>
      </w:r>
      <w:r w:rsidRPr="00FC109E">
        <w:rPr>
          <w:sz w:val="20"/>
          <w:szCs w:val="20"/>
          <w:lang w:val="en-US"/>
        </w:rPr>
        <w:t xml:space="preserve"> </w:t>
      </w:r>
      <w:r w:rsidRPr="00FC109E">
        <w:rPr>
          <w:i/>
          <w:sz w:val="20"/>
          <w:szCs w:val="20"/>
          <w:lang w:val="en-US"/>
        </w:rPr>
        <w:t>Productivity Changes in the European Union: Str</w:t>
      </w:r>
      <w:r w:rsidRPr="00FC109E">
        <w:rPr>
          <w:i/>
          <w:sz w:val="20"/>
          <w:szCs w:val="20"/>
          <w:lang w:val="en-US"/>
        </w:rPr>
        <w:t>uctural and Competitive Aspects</w:t>
      </w:r>
      <w:r w:rsidRPr="00FC109E">
        <w:rPr>
          <w:sz w:val="20"/>
          <w:szCs w:val="20"/>
          <w:lang w:val="en-US"/>
        </w:rPr>
        <w:t>,</w:t>
      </w:r>
      <w:r w:rsidRPr="00FC109E">
        <w:rPr>
          <w:sz w:val="20"/>
          <w:szCs w:val="20"/>
          <w:lang w:val="en-US"/>
        </w:rPr>
        <w:t xml:space="preserve"> Folia Oeconomica Stetinensia</w:t>
      </w:r>
      <w:r w:rsidRPr="00FC109E">
        <w:rPr>
          <w:sz w:val="20"/>
          <w:szCs w:val="20"/>
          <w:lang w:val="en-US"/>
        </w:rPr>
        <w:t>, Vol.</w:t>
      </w:r>
      <w:r w:rsidRPr="00FC109E">
        <w:rPr>
          <w:sz w:val="20"/>
          <w:szCs w:val="20"/>
          <w:lang w:val="en-US"/>
        </w:rPr>
        <w:t xml:space="preserve"> 6</w:t>
      </w:r>
      <w:r w:rsidRPr="00FC109E">
        <w:rPr>
          <w:sz w:val="20"/>
          <w:szCs w:val="20"/>
          <w:lang w:val="en-US"/>
        </w:rPr>
        <w:t xml:space="preserve">, Issue 1, pp. 63-74, DOI: </w:t>
      </w:r>
      <w:r w:rsidRPr="00FC109E">
        <w:rPr>
          <w:sz w:val="20"/>
          <w:szCs w:val="20"/>
          <w:lang w:val="en"/>
        </w:rPr>
        <w:t>10.2478/v10031-007-0005-4.</w:t>
      </w:r>
    </w:p>
    <w:p w:rsidR="00610F36" w:rsidRPr="00FC109E" w:rsidRDefault="00610F36" w:rsidP="00FC109E">
      <w:pPr>
        <w:spacing w:after="0" w:line="240" w:lineRule="auto"/>
        <w:ind w:left="284" w:hanging="284"/>
        <w:rPr>
          <w:sz w:val="20"/>
          <w:szCs w:val="20"/>
          <w:lang w:val="en-US"/>
        </w:rPr>
      </w:pPr>
      <w:r w:rsidRPr="00FC109E">
        <w:rPr>
          <w:sz w:val="20"/>
          <w:szCs w:val="20"/>
          <w:lang w:val="en-US"/>
        </w:rPr>
        <w:t>Batóg J., Batóg B.</w:t>
      </w:r>
      <w:r w:rsidR="007E0151">
        <w:rPr>
          <w:sz w:val="20"/>
          <w:szCs w:val="20"/>
          <w:lang w:val="en-US"/>
        </w:rPr>
        <w:t xml:space="preserve"> (2010),</w:t>
      </w:r>
      <w:r w:rsidRPr="00FC109E">
        <w:rPr>
          <w:sz w:val="20"/>
          <w:szCs w:val="20"/>
          <w:lang w:val="en-US"/>
        </w:rPr>
        <w:t xml:space="preserve"> </w:t>
      </w:r>
      <w:r w:rsidRPr="00FC109E">
        <w:rPr>
          <w:i/>
          <w:sz w:val="20"/>
          <w:szCs w:val="20"/>
          <w:lang w:val="en-US"/>
        </w:rPr>
        <w:t>Employment Growth within BSR Countries: Some Predictive Aspects of Shift-share Analysis</w:t>
      </w:r>
      <w:r w:rsidR="00FC109E">
        <w:rPr>
          <w:sz w:val="20"/>
          <w:szCs w:val="20"/>
          <w:lang w:val="en-US"/>
        </w:rPr>
        <w:t xml:space="preserve">, </w:t>
      </w:r>
      <w:r w:rsidR="007E0151">
        <w:rPr>
          <w:sz w:val="20"/>
          <w:szCs w:val="20"/>
          <w:lang w:val="en-US"/>
        </w:rPr>
        <w:t>[</w:t>
      </w:r>
      <w:r w:rsidR="00FC109E">
        <w:rPr>
          <w:sz w:val="20"/>
          <w:szCs w:val="20"/>
          <w:lang w:val="en-US"/>
        </w:rPr>
        <w:t>in</w:t>
      </w:r>
      <w:r w:rsidR="007E0151">
        <w:rPr>
          <w:sz w:val="20"/>
          <w:szCs w:val="20"/>
          <w:lang w:val="en-US"/>
        </w:rPr>
        <w:t>:]</w:t>
      </w:r>
      <w:r w:rsidRPr="00FC109E">
        <w:rPr>
          <w:sz w:val="20"/>
          <w:szCs w:val="20"/>
          <w:lang w:val="en-US"/>
        </w:rPr>
        <w:t xml:space="preserve"> Baltic Business and Socio-Economic Development 2007, 3rd International Conference, Tallinn, Estonia, June 17-19, 2007, Jost W. Kramer, Gunnar Prause &amp; Jüri Sepp (eds.) in co-operation with Marcel Brätz, BMV, Berliner Wissenschafts-Verlag, pp. 671-682 (ISBN 978-3-8305-1388-9), Berlin.</w:t>
      </w:r>
    </w:p>
    <w:p w:rsidR="00610F36" w:rsidRPr="00FC109E" w:rsidRDefault="00610F36" w:rsidP="00FC109E">
      <w:pPr>
        <w:pStyle w:val="Literaturverzeichnis"/>
        <w:spacing w:after="0"/>
        <w:rPr>
          <w:rFonts w:ascii="Times New Roman" w:hAnsi="Times New Roman"/>
          <w:sz w:val="20"/>
          <w:szCs w:val="20"/>
          <w:lang w:val="en-GB"/>
        </w:rPr>
      </w:pPr>
      <w:r w:rsidRPr="00FC109E">
        <w:rPr>
          <w:rFonts w:ascii="Times New Roman" w:hAnsi="Times New Roman"/>
          <w:sz w:val="20"/>
          <w:szCs w:val="20"/>
          <w:lang w:val="en-GB"/>
        </w:rPr>
        <w:t>Beaudry P., Collard F.</w:t>
      </w:r>
      <w:r w:rsidR="007E0151">
        <w:rPr>
          <w:rFonts w:ascii="Times New Roman" w:hAnsi="Times New Roman"/>
          <w:sz w:val="20"/>
          <w:szCs w:val="20"/>
          <w:lang w:val="en-GB"/>
        </w:rPr>
        <w:t xml:space="preserve"> (2002)</w:t>
      </w:r>
      <w:r w:rsidRPr="00FC109E">
        <w:rPr>
          <w:rFonts w:ascii="Times New Roman" w:hAnsi="Times New Roman"/>
          <w:sz w:val="20"/>
          <w:szCs w:val="20"/>
          <w:lang w:val="en-GB"/>
        </w:rPr>
        <w:t xml:space="preserve">, </w:t>
      </w:r>
      <w:proofErr w:type="gramStart"/>
      <w:r w:rsidRPr="00FC109E">
        <w:rPr>
          <w:rFonts w:ascii="Times New Roman" w:hAnsi="Times New Roman"/>
          <w:i/>
          <w:sz w:val="20"/>
          <w:szCs w:val="20"/>
          <w:lang w:val="en-GB"/>
        </w:rPr>
        <w:t>Why</w:t>
      </w:r>
      <w:proofErr w:type="gramEnd"/>
      <w:r w:rsidRPr="00FC109E">
        <w:rPr>
          <w:rFonts w:ascii="Times New Roman" w:hAnsi="Times New Roman"/>
          <w:i/>
          <w:sz w:val="20"/>
          <w:szCs w:val="20"/>
          <w:lang w:val="en-GB"/>
        </w:rPr>
        <w:t xml:space="preserve"> has the employment-productivity trade</w:t>
      </w:r>
      <w:r w:rsidR="00FC109E">
        <w:rPr>
          <w:rFonts w:ascii="Times New Roman" w:hAnsi="Times New Roman"/>
          <w:i/>
          <w:sz w:val="20"/>
          <w:szCs w:val="20"/>
          <w:lang w:val="en-GB"/>
        </w:rPr>
        <w:t xml:space="preserve"> </w:t>
      </w:r>
      <w:r w:rsidRPr="00FC109E">
        <w:rPr>
          <w:rFonts w:ascii="Times New Roman" w:hAnsi="Times New Roman"/>
          <w:i/>
          <w:sz w:val="20"/>
          <w:szCs w:val="20"/>
          <w:lang w:val="en-GB"/>
        </w:rPr>
        <w:t>off among industrialized countries been so strong?</w:t>
      </w:r>
      <w:r w:rsidRPr="00FC109E">
        <w:rPr>
          <w:rFonts w:ascii="Times New Roman" w:hAnsi="Times New Roman"/>
          <w:sz w:val="20"/>
          <w:szCs w:val="20"/>
          <w:lang w:val="en-GB"/>
        </w:rPr>
        <w:t xml:space="preserve"> NBER Working Paper Series, Working Paper 8754, Cambridge.</w:t>
      </w:r>
    </w:p>
    <w:p w:rsidR="00610F36" w:rsidRPr="00FC109E" w:rsidRDefault="00610F36" w:rsidP="00FC109E">
      <w:pPr>
        <w:pStyle w:val="Literaturverzeichnis"/>
        <w:spacing w:after="0"/>
        <w:rPr>
          <w:rFonts w:ascii="Times New Roman" w:hAnsi="Times New Roman"/>
          <w:sz w:val="20"/>
          <w:szCs w:val="20"/>
          <w:lang w:val="en-GB"/>
        </w:rPr>
      </w:pPr>
      <w:r w:rsidRPr="00FC109E">
        <w:rPr>
          <w:rFonts w:ascii="Times New Roman" w:hAnsi="Times New Roman"/>
          <w:sz w:val="20"/>
          <w:szCs w:val="20"/>
          <w:lang w:val="en-GB"/>
        </w:rPr>
        <w:t>Czyżewski A.B., Łapińska-Sobczak N.</w:t>
      </w:r>
      <w:r w:rsidR="007E0151">
        <w:rPr>
          <w:rFonts w:ascii="Times New Roman" w:hAnsi="Times New Roman"/>
          <w:sz w:val="20"/>
          <w:szCs w:val="20"/>
          <w:lang w:val="en-GB"/>
        </w:rPr>
        <w:t xml:space="preserve"> (2001)</w:t>
      </w:r>
      <w:r w:rsidRPr="00FC109E">
        <w:rPr>
          <w:rFonts w:ascii="Times New Roman" w:hAnsi="Times New Roman"/>
          <w:sz w:val="20"/>
          <w:szCs w:val="20"/>
          <w:lang w:val="en-GB"/>
        </w:rPr>
        <w:t xml:space="preserve">, </w:t>
      </w:r>
      <w:r w:rsidRPr="00FC109E">
        <w:rPr>
          <w:rFonts w:ascii="Times New Roman" w:hAnsi="Times New Roman"/>
          <w:i/>
          <w:sz w:val="20"/>
          <w:szCs w:val="20"/>
          <w:lang w:val="en-GB"/>
        </w:rPr>
        <w:t xml:space="preserve">Zatrudnienie i bezrobocie a płace </w:t>
      </w:r>
      <w:r w:rsidR="00FC109E">
        <w:rPr>
          <w:rFonts w:ascii="Times New Roman" w:hAnsi="Times New Roman"/>
          <w:i/>
          <w:sz w:val="20"/>
          <w:szCs w:val="20"/>
          <w:lang w:val="en-GB"/>
        </w:rPr>
        <w:t>i</w:t>
      </w:r>
      <w:r w:rsidRPr="00FC109E">
        <w:rPr>
          <w:rFonts w:ascii="Times New Roman" w:hAnsi="Times New Roman"/>
          <w:i/>
          <w:sz w:val="20"/>
          <w:szCs w:val="20"/>
          <w:lang w:val="en-GB"/>
        </w:rPr>
        <w:t xml:space="preserve"> koszty pracy w wybranych krajach Unii Europejskiej</w:t>
      </w:r>
      <w:r w:rsidRPr="00FC109E">
        <w:rPr>
          <w:rFonts w:ascii="Times New Roman" w:hAnsi="Times New Roman"/>
          <w:sz w:val="20"/>
          <w:szCs w:val="20"/>
          <w:lang w:val="en-GB"/>
        </w:rPr>
        <w:t>, Ekonomista, nr 4, s. 517-533.</w:t>
      </w:r>
    </w:p>
    <w:p w:rsidR="00610F36" w:rsidRPr="00FC109E" w:rsidRDefault="00610F36" w:rsidP="00FC109E">
      <w:pPr>
        <w:autoSpaceDE w:val="0"/>
        <w:autoSpaceDN w:val="0"/>
        <w:adjustRightInd w:val="0"/>
        <w:spacing w:after="0" w:line="240" w:lineRule="auto"/>
        <w:ind w:left="284" w:hanging="284"/>
        <w:rPr>
          <w:bCs/>
          <w:sz w:val="20"/>
          <w:szCs w:val="20"/>
        </w:rPr>
      </w:pPr>
      <w:r w:rsidRPr="00FC109E">
        <w:rPr>
          <w:bCs/>
          <w:sz w:val="20"/>
          <w:szCs w:val="20"/>
        </w:rPr>
        <w:t>Deakin S., Malmberg J., Sarkar P.</w:t>
      </w:r>
      <w:r w:rsidR="007E0151">
        <w:rPr>
          <w:bCs/>
          <w:sz w:val="20"/>
          <w:szCs w:val="20"/>
        </w:rPr>
        <w:t xml:space="preserve"> (2014)</w:t>
      </w:r>
      <w:r w:rsidRPr="00FC109E">
        <w:rPr>
          <w:bCs/>
          <w:sz w:val="20"/>
          <w:szCs w:val="20"/>
        </w:rPr>
        <w:t xml:space="preserve">, </w:t>
      </w:r>
      <w:r w:rsidRPr="00FC109E">
        <w:rPr>
          <w:bCs/>
          <w:i/>
          <w:sz w:val="20"/>
          <w:szCs w:val="20"/>
        </w:rPr>
        <w:t>How do labour laws affect unemployment and the labour share of national income? The experience of six OECD countries, 1970-2010</w:t>
      </w:r>
      <w:r w:rsidRPr="00FC109E">
        <w:rPr>
          <w:bCs/>
          <w:sz w:val="20"/>
          <w:szCs w:val="20"/>
        </w:rPr>
        <w:t xml:space="preserve">, International Labour Review, Vol. 153, No. 1, </w:t>
      </w:r>
      <w:proofErr w:type="gramStart"/>
      <w:r w:rsidRPr="00FC109E">
        <w:rPr>
          <w:bCs/>
          <w:sz w:val="20"/>
          <w:szCs w:val="20"/>
        </w:rPr>
        <w:t>pp</w:t>
      </w:r>
      <w:proofErr w:type="gramEnd"/>
      <w:r w:rsidRPr="00FC109E">
        <w:rPr>
          <w:bCs/>
          <w:sz w:val="20"/>
          <w:szCs w:val="20"/>
        </w:rPr>
        <w:t>. 1-27.</w:t>
      </w:r>
    </w:p>
    <w:p w:rsidR="00610F36" w:rsidRPr="00FC109E" w:rsidRDefault="00610F36" w:rsidP="00FC109E">
      <w:pPr>
        <w:pStyle w:val="NormalnyWeb"/>
        <w:spacing w:before="0" w:beforeAutospacing="0" w:after="0" w:afterAutospacing="0"/>
        <w:ind w:left="284" w:hanging="284"/>
        <w:jc w:val="both"/>
        <w:rPr>
          <w:color w:val="000000" w:themeColor="text1"/>
          <w:sz w:val="20"/>
          <w:szCs w:val="20"/>
        </w:rPr>
      </w:pPr>
      <w:r w:rsidRPr="00FC109E">
        <w:rPr>
          <w:bCs/>
          <w:color w:val="000000" w:themeColor="text1"/>
          <w:sz w:val="20"/>
          <w:szCs w:val="20"/>
        </w:rPr>
        <w:t>Hogrefe J., Kappler M.</w:t>
      </w:r>
      <w:r w:rsidR="007E0151">
        <w:rPr>
          <w:bCs/>
          <w:color w:val="000000" w:themeColor="text1"/>
          <w:sz w:val="20"/>
          <w:szCs w:val="20"/>
        </w:rPr>
        <w:t xml:space="preserve"> (2013)</w:t>
      </w:r>
      <w:r w:rsidRPr="00FC109E">
        <w:rPr>
          <w:bCs/>
          <w:color w:val="000000" w:themeColor="text1"/>
          <w:sz w:val="20"/>
          <w:szCs w:val="20"/>
        </w:rPr>
        <w:t xml:space="preserve">, </w:t>
      </w:r>
      <w:r w:rsidRPr="00FC109E">
        <w:rPr>
          <w:bCs/>
          <w:i/>
          <w:color w:val="000000" w:themeColor="text1"/>
          <w:sz w:val="20"/>
          <w:szCs w:val="20"/>
        </w:rPr>
        <w:t>The labour share of income: heterogeneous causes for parallel movements?</w:t>
      </w:r>
      <w:r w:rsidRPr="00FC109E">
        <w:rPr>
          <w:bCs/>
          <w:color w:val="000000" w:themeColor="text1"/>
          <w:sz w:val="20"/>
          <w:szCs w:val="20"/>
        </w:rPr>
        <w:t xml:space="preserve">, </w:t>
      </w:r>
      <w:r w:rsidRPr="00FC109E">
        <w:rPr>
          <w:rStyle w:val="journaltitle"/>
          <w:color w:val="000000" w:themeColor="text1"/>
          <w:sz w:val="20"/>
          <w:szCs w:val="20"/>
          <w:lang w:val="en"/>
        </w:rPr>
        <w:t>The Journal of Economic Inequality</w:t>
      </w:r>
      <w:r w:rsidRPr="00FC109E">
        <w:rPr>
          <w:color w:val="000000" w:themeColor="text1"/>
          <w:sz w:val="20"/>
          <w:szCs w:val="20"/>
          <w:lang w:val="en"/>
        </w:rPr>
        <w:t xml:space="preserve">, </w:t>
      </w:r>
      <w:r w:rsidRPr="00FC109E">
        <w:rPr>
          <w:rStyle w:val="articlecitationvolume"/>
          <w:color w:val="000000" w:themeColor="text1"/>
          <w:sz w:val="20"/>
          <w:szCs w:val="20"/>
          <w:lang w:val="en"/>
        </w:rPr>
        <w:t>Vol. 11, Issue 3,</w:t>
      </w:r>
      <w:r w:rsidRPr="00FC109E">
        <w:rPr>
          <w:rStyle w:val="articlecitationpages"/>
          <w:color w:val="000000" w:themeColor="text1"/>
          <w:sz w:val="20"/>
          <w:szCs w:val="20"/>
          <w:lang w:val="en"/>
        </w:rPr>
        <w:t xml:space="preserve"> pp. 303-319, </w:t>
      </w:r>
      <w:r w:rsidRPr="00FC109E">
        <w:rPr>
          <w:color w:val="000000" w:themeColor="text1"/>
          <w:sz w:val="20"/>
          <w:szCs w:val="20"/>
        </w:rPr>
        <w:t>DOI 10.1007/s10888-012-9221-8.</w:t>
      </w:r>
    </w:p>
    <w:p w:rsidR="00610F36" w:rsidRPr="00FC109E" w:rsidRDefault="00610F36" w:rsidP="00FC109E">
      <w:pPr>
        <w:autoSpaceDE w:val="0"/>
        <w:autoSpaceDN w:val="0"/>
        <w:adjustRightInd w:val="0"/>
        <w:spacing w:after="0" w:line="240" w:lineRule="auto"/>
        <w:ind w:left="284" w:hanging="284"/>
        <w:rPr>
          <w:rFonts w:cs="Times New Roman"/>
          <w:sz w:val="20"/>
          <w:szCs w:val="20"/>
        </w:rPr>
      </w:pPr>
      <w:r w:rsidRPr="00FC109E">
        <w:rPr>
          <w:rFonts w:cs="Times New Roman"/>
          <w:sz w:val="20"/>
          <w:szCs w:val="20"/>
        </w:rPr>
        <w:t>Hutchinson J., Persyn D.</w:t>
      </w:r>
      <w:r w:rsidR="007E0151">
        <w:rPr>
          <w:rFonts w:cs="Times New Roman"/>
          <w:sz w:val="20"/>
          <w:szCs w:val="20"/>
        </w:rPr>
        <w:t xml:space="preserve"> (2012)</w:t>
      </w:r>
      <w:r w:rsidRPr="00FC109E">
        <w:rPr>
          <w:rFonts w:cs="Times New Roman"/>
          <w:sz w:val="20"/>
          <w:szCs w:val="20"/>
        </w:rPr>
        <w:t xml:space="preserve">, </w:t>
      </w:r>
      <w:r w:rsidRPr="00FC109E">
        <w:rPr>
          <w:rFonts w:cs="Times New Roman"/>
          <w:i/>
          <w:sz w:val="20"/>
          <w:szCs w:val="20"/>
        </w:rPr>
        <w:t>Globalisation, concentration and footloose firms: in search of the main cause of the declining labour share</w:t>
      </w:r>
      <w:r w:rsidRPr="00FC109E">
        <w:rPr>
          <w:rFonts w:cs="Times New Roman"/>
          <w:sz w:val="20"/>
          <w:szCs w:val="20"/>
        </w:rPr>
        <w:t>, Review of World Economics, Vol. 148, Issue 1, pp. 7-43, DOI 10.1007/</w:t>
      </w:r>
      <w:proofErr w:type="gramStart"/>
      <w:r w:rsidRPr="00FC109E">
        <w:rPr>
          <w:rFonts w:cs="Times New Roman"/>
          <w:sz w:val="20"/>
          <w:szCs w:val="20"/>
        </w:rPr>
        <w:t>s</w:t>
      </w:r>
      <w:proofErr w:type="gramEnd"/>
      <w:r w:rsidRPr="00FC109E">
        <w:rPr>
          <w:rFonts w:cs="Times New Roman"/>
          <w:sz w:val="20"/>
          <w:szCs w:val="20"/>
        </w:rPr>
        <w:t>10290-011-0112-z.</w:t>
      </w:r>
    </w:p>
    <w:p w:rsidR="00610F36" w:rsidRPr="00FC109E" w:rsidRDefault="00610F36" w:rsidP="00FC109E">
      <w:pPr>
        <w:autoSpaceDE w:val="0"/>
        <w:autoSpaceDN w:val="0"/>
        <w:adjustRightInd w:val="0"/>
        <w:spacing w:after="0" w:line="240" w:lineRule="auto"/>
        <w:ind w:left="284" w:hanging="284"/>
        <w:rPr>
          <w:sz w:val="20"/>
          <w:szCs w:val="20"/>
        </w:rPr>
      </w:pPr>
      <w:r w:rsidRPr="00FC109E">
        <w:rPr>
          <w:sz w:val="20"/>
          <w:szCs w:val="20"/>
        </w:rPr>
        <w:t>Izyumov A., Vahaly J.</w:t>
      </w:r>
      <w:r w:rsidR="007E0151">
        <w:rPr>
          <w:sz w:val="20"/>
          <w:szCs w:val="20"/>
        </w:rPr>
        <w:t xml:space="preserve"> (2014)</w:t>
      </w:r>
      <w:r w:rsidRPr="00FC109E">
        <w:rPr>
          <w:sz w:val="20"/>
          <w:szCs w:val="20"/>
        </w:rPr>
        <w:t xml:space="preserve">, </w:t>
      </w:r>
      <w:r w:rsidRPr="00FC109E">
        <w:rPr>
          <w:i/>
          <w:sz w:val="20"/>
          <w:szCs w:val="20"/>
        </w:rPr>
        <w:t>Recent trends in factor income shares: a global perspective, Journal of Economic Studies</w:t>
      </w:r>
      <w:r w:rsidRPr="00FC109E">
        <w:rPr>
          <w:sz w:val="20"/>
          <w:szCs w:val="20"/>
        </w:rPr>
        <w:t xml:space="preserve">, Vol. 41 No. 5, </w:t>
      </w:r>
      <w:proofErr w:type="gramStart"/>
      <w:r w:rsidRPr="00FC109E">
        <w:rPr>
          <w:sz w:val="20"/>
          <w:szCs w:val="20"/>
        </w:rPr>
        <w:t>pp</w:t>
      </w:r>
      <w:proofErr w:type="gramEnd"/>
      <w:r w:rsidRPr="00FC109E">
        <w:rPr>
          <w:sz w:val="20"/>
          <w:szCs w:val="20"/>
        </w:rPr>
        <w:t>. 696-707.</w:t>
      </w:r>
    </w:p>
    <w:p w:rsidR="00610F36" w:rsidRPr="00FC109E" w:rsidRDefault="00610F36" w:rsidP="00FC109E">
      <w:pPr>
        <w:autoSpaceDE w:val="0"/>
        <w:autoSpaceDN w:val="0"/>
        <w:adjustRightInd w:val="0"/>
        <w:spacing w:after="0" w:line="240" w:lineRule="auto"/>
        <w:ind w:left="284" w:hanging="284"/>
        <w:rPr>
          <w:sz w:val="20"/>
          <w:szCs w:val="20"/>
        </w:rPr>
      </w:pPr>
      <w:r w:rsidRPr="00FC109E">
        <w:rPr>
          <w:sz w:val="20"/>
          <w:szCs w:val="20"/>
        </w:rPr>
        <w:t>Kristal T.</w:t>
      </w:r>
      <w:r w:rsidR="007E0151">
        <w:rPr>
          <w:sz w:val="20"/>
          <w:szCs w:val="20"/>
        </w:rPr>
        <w:t xml:space="preserve"> (2010)</w:t>
      </w:r>
      <w:r w:rsidRPr="00FC109E">
        <w:rPr>
          <w:sz w:val="20"/>
          <w:szCs w:val="20"/>
        </w:rPr>
        <w:t xml:space="preserve">, </w:t>
      </w:r>
      <w:r w:rsidRPr="00BC628D">
        <w:rPr>
          <w:i/>
          <w:sz w:val="20"/>
          <w:szCs w:val="20"/>
        </w:rPr>
        <w:t>Good Times, Bad Times</w:t>
      </w:r>
      <w:r w:rsidRPr="00FC109E">
        <w:rPr>
          <w:i/>
          <w:sz w:val="20"/>
          <w:szCs w:val="20"/>
        </w:rPr>
        <w:t>: Postwar Labor’s Share of National Income in Capitalist Democracies</w:t>
      </w:r>
      <w:r w:rsidRPr="00FC109E">
        <w:rPr>
          <w:sz w:val="20"/>
          <w:szCs w:val="20"/>
        </w:rPr>
        <w:t xml:space="preserve">, American Sociological Review, Vol. 75, No. 5, </w:t>
      </w:r>
      <w:proofErr w:type="gramStart"/>
      <w:r w:rsidRPr="00FC109E">
        <w:rPr>
          <w:sz w:val="20"/>
          <w:szCs w:val="20"/>
        </w:rPr>
        <w:t>pp</w:t>
      </w:r>
      <w:proofErr w:type="gramEnd"/>
      <w:r w:rsidRPr="00FC109E">
        <w:rPr>
          <w:sz w:val="20"/>
          <w:szCs w:val="20"/>
        </w:rPr>
        <w:t>. 729-763, DOI:10.1177/0003122410382640.</w:t>
      </w:r>
    </w:p>
    <w:p w:rsidR="00610F36" w:rsidRPr="00FC109E" w:rsidRDefault="00610F36" w:rsidP="00FC109E">
      <w:pPr>
        <w:pStyle w:val="Literaturverzeichnis"/>
        <w:spacing w:after="0"/>
        <w:rPr>
          <w:rFonts w:ascii="Times New Roman" w:hAnsi="Times New Roman"/>
          <w:sz w:val="20"/>
          <w:szCs w:val="20"/>
          <w:lang w:val="en-GB"/>
        </w:rPr>
      </w:pPr>
      <w:r w:rsidRPr="00FC109E">
        <w:rPr>
          <w:rFonts w:ascii="Times New Roman" w:hAnsi="Times New Roman"/>
          <w:sz w:val="20"/>
          <w:szCs w:val="20"/>
          <w:lang w:val="en-GB"/>
        </w:rPr>
        <w:t>Madden G., Savage S.J.</w:t>
      </w:r>
      <w:r w:rsidR="007E0151">
        <w:rPr>
          <w:rFonts w:ascii="Times New Roman" w:hAnsi="Times New Roman"/>
          <w:sz w:val="20"/>
          <w:szCs w:val="20"/>
          <w:lang w:val="en-GB"/>
        </w:rPr>
        <w:t xml:space="preserve"> (1998)</w:t>
      </w:r>
      <w:r w:rsidRPr="00FC109E">
        <w:rPr>
          <w:rFonts w:ascii="Times New Roman" w:hAnsi="Times New Roman"/>
          <w:sz w:val="20"/>
          <w:szCs w:val="20"/>
          <w:lang w:val="en-GB"/>
        </w:rPr>
        <w:t xml:space="preserve">, </w:t>
      </w:r>
      <w:r w:rsidRPr="00FC109E">
        <w:rPr>
          <w:rFonts w:ascii="Times New Roman" w:hAnsi="Times New Roman"/>
          <w:i/>
          <w:sz w:val="20"/>
          <w:szCs w:val="20"/>
          <w:lang w:val="en-GB"/>
        </w:rPr>
        <w:t>Sources of Australian labour productivity change: 1950-1994</w:t>
      </w:r>
      <w:r w:rsidRPr="00FC109E">
        <w:rPr>
          <w:rFonts w:ascii="Times New Roman" w:hAnsi="Times New Roman"/>
          <w:sz w:val="20"/>
          <w:szCs w:val="20"/>
          <w:lang w:val="en-GB"/>
        </w:rPr>
        <w:t xml:space="preserve">, </w:t>
      </w:r>
      <w:r w:rsidRPr="00FC109E">
        <w:rPr>
          <w:rFonts w:ascii="Times New Roman" w:hAnsi="Times New Roman"/>
          <w:color w:val="000000" w:themeColor="text1"/>
          <w:sz w:val="20"/>
          <w:szCs w:val="20"/>
          <w:lang w:val="en-GB"/>
        </w:rPr>
        <w:t xml:space="preserve">Economic Record, East Ivanhoe, </w:t>
      </w:r>
      <w:r w:rsidRPr="00FC109E">
        <w:rPr>
          <w:rFonts w:ascii="Times New Roman" w:hAnsi="Times New Roman"/>
          <w:sz w:val="20"/>
          <w:szCs w:val="20"/>
          <w:lang w:val="en-GB"/>
        </w:rPr>
        <w:t>Vol. 74, Issue 227, p</w:t>
      </w:r>
      <w:r w:rsidR="00FC109E" w:rsidRPr="00FC109E">
        <w:rPr>
          <w:rFonts w:ascii="Times New Roman" w:hAnsi="Times New Roman"/>
          <w:sz w:val="20"/>
          <w:szCs w:val="20"/>
          <w:lang w:val="en-GB"/>
        </w:rPr>
        <w:t>p</w:t>
      </w:r>
      <w:r w:rsidRPr="00FC109E">
        <w:rPr>
          <w:rFonts w:ascii="Times New Roman" w:hAnsi="Times New Roman"/>
          <w:sz w:val="20"/>
          <w:szCs w:val="20"/>
          <w:lang w:val="en-GB"/>
        </w:rPr>
        <w:t>. 362-372.</w:t>
      </w:r>
    </w:p>
    <w:p w:rsidR="00610F36" w:rsidRPr="00FC109E" w:rsidRDefault="00610F36" w:rsidP="00FC109E">
      <w:pPr>
        <w:autoSpaceDE w:val="0"/>
        <w:autoSpaceDN w:val="0"/>
        <w:adjustRightInd w:val="0"/>
        <w:spacing w:after="0" w:line="240" w:lineRule="auto"/>
        <w:ind w:left="284" w:hanging="284"/>
        <w:rPr>
          <w:sz w:val="20"/>
          <w:szCs w:val="20"/>
        </w:rPr>
      </w:pPr>
      <w:r w:rsidRPr="00FC109E">
        <w:rPr>
          <w:sz w:val="20"/>
          <w:szCs w:val="20"/>
        </w:rPr>
        <w:t>Mućk J.</w:t>
      </w:r>
      <w:r w:rsidR="007E0151">
        <w:rPr>
          <w:sz w:val="20"/>
          <w:szCs w:val="20"/>
        </w:rPr>
        <w:t xml:space="preserve"> (2015)</w:t>
      </w:r>
      <w:r w:rsidRPr="00FC109E">
        <w:rPr>
          <w:sz w:val="20"/>
          <w:szCs w:val="20"/>
        </w:rPr>
        <w:t xml:space="preserve">, </w:t>
      </w:r>
      <w:r w:rsidRPr="00FC109E">
        <w:rPr>
          <w:i/>
          <w:sz w:val="20"/>
          <w:szCs w:val="20"/>
        </w:rPr>
        <w:t>O średniookresowych własnościach dynamicznych udziału wynagrodzenia czynników wytwórczych w PKB</w:t>
      </w:r>
      <w:r w:rsidRPr="00FC109E">
        <w:rPr>
          <w:sz w:val="20"/>
          <w:szCs w:val="20"/>
        </w:rPr>
        <w:t>, rozprawa doktorska, promotor J. Growiec, SGH w Warszawie.</w:t>
      </w:r>
    </w:p>
    <w:p w:rsidR="00610F36" w:rsidRPr="00FC109E" w:rsidRDefault="00610F36" w:rsidP="00FC109E">
      <w:pPr>
        <w:autoSpaceDE w:val="0"/>
        <w:autoSpaceDN w:val="0"/>
        <w:adjustRightInd w:val="0"/>
        <w:spacing w:after="0" w:line="240" w:lineRule="auto"/>
        <w:ind w:left="284" w:hanging="284"/>
        <w:rPr>
          <w:rFonts w:cs="Times New Roman"/>
          <w:bCs/>
          <w:color w:val="000000" w:themeColor="text1"/>
          <w:sz w:val="20"/>
          <w:szCs w:val="20"/>
        </w:rPr>
      </w:pPr>
      <w:r w:rsidRPr="00FC109E">
        <w:rPr>
          <w:rFonts w:cs="Times New Roman"/>
          <w:color w:val="000000" w:themeColor="text1"/>
          <w:sz w:val="20"/>
          <w:szCs w:val="20"/>
        </w:rPr>
        <w:t>OECD Employment Outlook 2012</w:t>
      </w:r>
      <w:r w:rsidR="007E0151">
        <w:rPr>
          <w:rFonts w:cs="Times New Roman"/>
          <w:color w:val="000000" w:themeColor="text1"/>
          <w:sz w:val="20"/>
          <w:szCs w:val="20"/>
        </w:rPr>
        <w:t xml:space="preserve"> (2012)</w:t>
      </w:r>
      <w:r w:rsidRPr="00FC109E">
        <w:rPr>
          <w:rFonts w:cs="Times New Roman"/>
          <w:color w:val="000000" w:themeColor="text1"/>
          <w:sz w:val="20"/>
          <w:szCs w:val="20"/>
        </w:rPr>
        <w:t xml:space="preserve">, Chapter 3, </w:t>
      </w:r>
      <w:r w:rsidRPr="00FC109E">
        <w:rPr>
          <w:rFonts w:cs="Times New Roman"/>
          <w:bCs/>
          <w:i/>
          <w:color w:val="000000" w:themeColor="text1"/>
          <w:sz w:val="20"/>
          <w:szCs w:val="20"/>
        </w:rPr>
        <w:t>Labour Losing to Capital: What Explains the Declining Labour Share?</w:t>
      </w:r>
      <w:r w:rsidRPr="00FC109E">
        <w:rPr>
          <w:rFonts w:cs="Times New Roman"/>
          <w:bCs/>
          <w:color w:val="000000" w:themeColor="text1"/>
          <w:sz w:val="20"/>
          <w:szCs w:val="20"/>
        </w:rPr>
        <w:t xml:space="preserve">, </w:t>
      </w:r>
      <w:proofErr w:type="gramStart"/>
      <w:r w:rsidRPr="00FC109E">
        <w:rPr>
          <w:rFonts w:cs="Times New Roman"/>
          <w:bCs/>
          <w:color w:val="000000" w:themeColor="text1"/>
          <w:sz w:val="20"/>
          <w:szCs w:val="20"/>
        </w:rPr>
        <w:t>pp</w:t>
      </w:r>
      <w:proofErr w:type="gramEnd"/>
      <w:r w:rsidRPr="00FC109E">
        <w:rPr>
          <w:rFonts w:cs="Times New Roman"/>
          <w:bCs/>
          <w:color w:val="000000" w:themeColor="text1"/>
          <w:sz w:val="20"/>
          <w:szCs w:val="20"/>
        </w:rPr>
        <w:t>. 109-161.</w:t>
      </w:r>
    </w:p>
    <w:p w:rsidR="00610F36" w:rsidRPr="00FC109E" w:rsidRDefault="00610F36" w:rsidP="00FC109E">
      <w:pPr>
        <w:autoSpaceDE w:val="0"/>
        <w:autoSpaceDN w:val="0"/>
        <w:adjustRightInd w:val="0"/>
        <w:spacing w:after="0" w:line="240" w:lineRule="auto"/>
        <w:ind w:left="284" w:hanging="284"/>
        <w:rPr>
          <w:sz w:val="20"/>
          <w:szCs w:val="20"/>
        </w:rPr>
      </w:pPr>
      <w:r w:rsidRPr="00FC109E">
        <w:rPr>
          <w:sz w:val="20"/>
          <w:szCs w:val="20"/>
        </w:rPr>
        <w:t>Schmidt T., Vosen S.</w:t>
      </w:r>
      <w:r w:rsidR="007E0151">
        <w:rPr>
          <w:sz w:val="20"/>
          <w:szCs w:val="20"/>
        </w:rPr>
        <w:t xml:space="preserve"> (2013)</w:t>
      </w:r>
      <w:r w:rsidRPr="00FC109E">
        <w:rPr>
          <w:sz w:val="20"/>
          <w:szCs w:val="20"/>
        </w:rPr>
        <w:t xml:space="preserve">, </w:t>
      </w:r>
      <w:r w:rsidRPr="00FC109E">
        <w:rPr>
          <w:i/>
          <w:sz w:val="20"/>
          <w:szCs w:val="20"/>
        </w:rPr>
        <w:t>Demographic change and the labour share of income</w:t>
      </w:r>
      <w:r w:rsidRPr="00FC109E">
        <w:rPr>
          <w:sz w:val="20"/>
          <w:szCs w:val="20"/>
        </w:rPr>
        <w:t>, Journal of Population Economics, Vol. 26, Issue 1, pp. 357-378, DOI 10.1007/</w:t>
      </w:r>
      <w:proofErr w:type="gramStart"/>
      <w:r w:rsidRPr="00FC109E">
        <w:rPr>
          <w:sz w:val="20"/>
          <w:szCs w:val="20"/>
        </w:rPr>
        <w:t>s</w:t>
      </w:r>
      <w:proofErr w:type="gramEnd"/>
      <w:r w:rsidRPr="00FC109E">
        <w:rPr>
          <w:sz w:val="20"/>
          <w:szCs w:val="20"/>
        </w:rPr>
        <w:t>00148-012-0415-y.</w:t>
      </w:r>
    </w:p>
    <w:p w:rsidR="00610F36" w:rsidRPr="00FC109E" w:rsidRDefault="00610F36" w:rsidP="00FC109E">
      <w:pPr>
        <w:autoSpaceDE w:val="0"/>
        <w:autoSpaceDN w:val="0"/>
        <w:adjustRightInd w:val="0"/>
        <w:spacing w:after="0" w:line="240" w:lineRule="auto"/>
        <w:ind w:left="284" w:hanging="284"/>
        <w:rPr>
          <w:sz w:val="20"/>
          <w:szCs w:val="20"/>
        </w:rPr>
      </w:pPr>
      <w:r w:rsidRPr="00FC109E">
        <w:rPr>
          <w:sz w:val="20"/>
          <w:szCs w:val="20"/>
        </w:rPr>
        <w:t>Stam P., Coleman J.</w:t>
      </w:r>
      <w:r w:rsidR="007E0151">
        <w:rPr>
          <w:sz w:val="20"/>
          <w:szCs w:val="20"/>
        </w:rPr>
        <w:t xml:space="preserve"> (2010)</w:t>
      </w:r>
      <w:r w:rsidRPr="00FC109E">
        <w:rPr>
          <w:sz w:val="20"/>
          <w:szCs w:val="20"/>
        </w:rPr>
        <w:t xml:space="preserve">, </w:t>
      </w:r>
      <w:r w:rsidRPr="00FC109E">
        <w:rPr>
          <w:i/>
          <w:sz w:val="20"/>
          <w:szCs w:val="20"/>
        </w:rPr>
        <w:t>The relationship between hours worked in the UK and the economy</w:t>
      </w:r>
      <w:r w:rsidRPr="00FC109E">
        <w:rPr>
          <w:sz w:val="20"/>
          <w:szCs w:val="20"/>
        </w:rPr>
        <w:t>, Economic &amp; Labour Market Review, Vol 4, No</w:t>
      </w:r>
      <w:r w:rsidR="007E0151">
        <w:rPr>
          <w:sz w:val="20"/>
          <w:szCs w:val="20"/>
        </w:rPr>
        <w:t>. 9</w:t>
      </w:r>
      <w:r w:rsidRPr="00FC109E">
        <w:rPr>
          <w:sz w:val="20"/>
          <w:szCs w:val="20"/>
        </w:rPr>
        <w:t>.</w:t>
      </w:r>
    </w:p>
    <w:p w:rsidR="00610F36" w:rsidRPr="00FC109E" w:rsidRDefault="00610F36" w:rsidP="00FC109E">
      <w:pPr>
        <w:pStyle w:val="Default"/>
        <w:ind w:left="284" w:hanging="284"/>
        <w:jc w:val="both"/>
        <w:rPr>
          <w:rFonts w:ascii="Times New Roman" w:hAnsi="Times New Roman" w:cstheme="minorBidi"/>
          <w:bCs/>
          <w:color w:val="auto"/>
          <w:sz w:val="20"/>
          <w:szCs w:val="20"/>
        </w:rPr>
      </w:pPr>
      <w:r w:rsidRPr="00FC109E">
        <w:rPr>
          <w:rFonts w:ascii="Times New Roman" w:hAnsi="Times New Roman" w:cstheme="minorBidi"/>
          <w:bCs/>
          <w:color w:val="auto"/>
          <w:sz w:val="20"/>
          <w:szCs w:val="20"/>
        </w:rPr>
        <w:t>Sweeney P.</w:t>
      </w:r>
      <w:r w:rsidR="007E0151">
        <w:rPr>
          <w:rFonts w:ascii="Times New Roman" w:hAnsi="Times New Roman" w:cstheme="minorBidi"/>
          <w:bCs/>
          <w:color w:val="auto"/>
          <w:sz w:val="20"/>
          <w:szCs w:val="20"/>
        </w:rPr>
        <w:t xml:space="preserve"> (2012-13)</w:t>
      </w:r>
      <w:r w:rsidRPr="00FC109E">
        <w:rPr>
          <w:rFonts w:ascii="Times New Roman" w:hAnsi="Times New Roman" w:cstheme="minorBidi"/>
          <w:bCs/>
          <w:color w:val="auto"/>
          <w:sz w:val="20"/>
          <w:szCs w:val="20"/>
        </w:rPr>
        <w:t xml:space="preserve">, </w:t>
      </w:r>
      <w:r w:rsidRPr="00FC109E">
        <w:rPr>
          <w:rFonts w:ascii="Times New Roman" w:hAnsi="Times New Roman" w:cstheme="minorBidi"/>
          <w:bCs/>
          <w:i/>
          <w:color w:val="auto"/>
          <w:sz w:val="20"/>
          <w:szCs w:val="20"/>
        </w:rPr>
        <w:t>Presidential Address. An Inquiry into the Declining Labour Share of National Income and the Consequences for Economies and Societies</w:t>
      </w:r>
      <w:r w:rsidRPr="00FC109E">
        <w:rPr>
          <w:rFonts w:ascii="Times New Roman" w:hAnsi="Times New Roman" w:cstheme="minorBidi"/>
          <w:bCs/>
          <w:color w:val="auto"/>
          <w:sz w:val="20"/>
          <w:szCs w:val="20"/>
        </w:rPr>
        <w:t>, Journal of the Statistical and Social Inquiry Society of Ireland, Vol. XLII, pp. 109-129.</w:t>
      </w:r>
    </w:p>
    <w:p w:rsidR="00610F36" w:rsidRPr="00FC109E" w:rsidRDefault="00610F36" w:rsidP="00FC109E">
      <w:pPr>
        <w:spacing w:line="240" w:lineRule="auto"/>
        <w:rPr>
          <w:sz w:val="20"/>
          <w:szCs w:val="20"/>
          <w:lang w:val="en-US"/>
        </w:rPr>
      </w:pPr>
      <w:r w:rsidRPr="00FC109E">
        <w:rPr>
          <w:i/>
          <w:iCs/>
          <w:sz w:val="20"/>
          <w:szCs w:val="20"/>
          <w:lang w:val="en-US"/>
        </w:rPr>
        <w:t>The Quality of Growth</w:t>
      </w:r>
      <w:r w:rsidR="007E0151">
        <w:rPr>
          <w:iCs/>
          <w:sz w:val="20"/>
          <w:szCs w:val="20"/>
          <w:lang w:val="en-US"/>
        </w:rPr>
        <w:t xml:space="preserve"> (2000)</w:t>
      </w:r>
      <w:r w:rsidRPr="00FC109E">
        <w:rPr>
          <w:sz w:val="20"/>
          <w:szCs w:val="20"/>
          <w:lang w:val="en-US"/>
        </w:rPr>
        <w:t xml:space="preserve">, </w:t>
      </w:r>
      <w:r w:rsidR="00FC109E" w:rsidRPr="00FC109E">
        <w:rPr>
          <w:sz w:val="20"/>
          <w:szCs w:val="20"/>
          <w:lang w:val="en-US"/>
        </w:rPr>
        <w:t>t</w:t>
      </w:r>
      <w:r w:rsidRPr="00FC109E">
        <w:rPr>
          <w:sz w:val="20"/>
          <w:szCs w:val="20"/>
          <w:lang w:val="en-US"/>
        </w:rPr>
        <w:t>he Wor</w:t>
      </w:r>
      <w:r w:rsidR="00FC109E" w:rsidRPr="00FC109E">
        <w:rPr>
          <w:sz w:val="20"/>
          <w:szCs w:val="20"/>
          <w:lang w:val="en-US"/>
        </w:rPr>
        <w:t>l</w:t>
      </w:r>
      <w:r w:rsidRPr="00FC109E">
        <w:rPr>
          <w:sz w:val="20"/>
          <w:szCs w:val="20"/>
          <w:lang w:val="en-US"/>
        </w:rPr>
        <w:t>d Bank, Oxford University Press, New York.</w:t>
      </w:r>
      <w:bookmarkStart w:id="0" w:name="_GoBack"/>
      <w:bookmarkEnd w:id="0"/>
    </w:p>
    <w:sectPr w:rsidR="00610F36" w:rsidRPr="00FC10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22" w:rsidRDefault="004E0022" w:rsidP="0089404E">
      <w:pPr>
        <w:spacing w:after="0" w:line="240" w:lineRule="auto"/>
      </w:pPr>
      <w:r>
        <w:separator/>
      </w:r>
    </w:p>
  </w:endnote>
  <w:endnote w:type="continuationSeparator" w:id="0">
    <w:p w:rsidR="004E0022" w:rsidRDefault="004E0022" w:rsidP="0089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altName w:val="Trebuchet MS"/>
    <w:panose1 w:val="020B0603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22" w:rsidRDefault="004E0022" w:rsidP="0089404E">
      <w:pPr>
        <w:spacing w:after="0" w:line="240" w:lineRule="auto"/>
      </w:pPr>
      <w:r>
        <w:separator/>
      </w:r>
    </w:p>
  </w:footnote>
  <w:footnote w:type="continuationSeparator" w:id="0">
    <w:p w:rsidR="004E0022" w:rsidRDefault="004E0022" w:rsidP="0089404E">
      <w:pPr>
        <w:spacing w:after="0" w:line="240" w:lineRule="auto"/>
      </w:pPr>
      <w:r>
        <w:continuationSeparator/>
      </w:r>
    </w:p>
  </w:footnote>
  <w:footnote w:id="1">
    <w:p w:rsidR="00BC628D" w:rsidRPr="00BC628D" w:rsidRDefault="00BC628D" w:rsidP="001D3B5A">
      <w:pPr>
        <w:pStyle w:val="Tekstprzypisudolnego"/>
        <w:spacing w:after="0"/>
        <w:rPr>
          <w:lang w:val="pl-PL"/>
        </w:rPr>
      </w:pPr>
      <w:r>
        <w:rPr>
          <w:rStyle w:val="Odwoanieprzypisudolnego"/>
        </w:rPr>
        <w:footnoteRef/>
      </w:r>
      <w:r>
        <w:t xml:space="preserve"> </w:t>
      </w:r>
      <w:r>
        <w:rPr>
          <w:lang w:val="pl-PL"/>
        </w:rPr>
        <w:t>See also (Kristal, 2010).</w:t>
      </w:r>
    </w:p>
  </w:footnote>
  <w:footnote w:id="2">
    <w:p w:rsidR="00F448DA" w:rsidRPr="00F448DA" w:rsidRDefault="00F448DA" w:rsidP="001D3B5A">
      <w:pPr>
        <w:pStyle w:val="Tekstprzypisudolnego"/>
        <w:tabs>
          <w:tab w:val="clear" w:pos="850"/>
          <w:tab w:val="clear" w:pos="1191"/>
          <w:tab w:val="clear" w:pos="1531"/>
        </w:tabs>
        <w:spacing w:after="0"/>
        <w:ind w:left="0" w:firstLine="0"/>
        <w:rPr>
          <w:lang w:val="pl-PL"/>
        </w:rPr>
      </w:pPr>
      <w:r>
        <w:rPr>
          <w:rStyle w:val="Odwoanieprzypisudolnego"/>
        </w:rPr>
        <w:footnoteRef/>
      </w:r>
      <w:r>
        <w:t xml:space="preserve"> Other </w:t>
      </w:r>
      <w:r>
        <w:rPr>
          <w:lang w:val="pl-PL"/>
        </w:rPr>
        <w:t>application of shift-share method in an analysis of labour market can be found in (Batóg, Batóg, 2010).</w:t>
      </w:r>
    </w:p>
  </w:footnote>
  <w:footnote w:id="3">
    <w:p w:rsidR="007F27D9" w:rsidRPr="007F27D9" w:rsidRDefault="007F27D9" w:rsidP="001D3B5A">
      <w:pPr>
        <w:pStyle w:val="NormalnyWeb"/>
        <w:spacing w:before="0" w:beforeAutospacing="0" w:after="0" w:afterAutospacing="0"/>
        <w:jc w:val="both"/>
        <w:rPr>
          <w:sz w:val="20"/>
          <w:szCs w:val="20"/>
          <w:lang w:val="en-GB" w:eastAsia="en-US"/>
        </w:rPr>
      </w:pPr>
      <w:r w:rsidRPr="001D3B5A">
        <w:rPr>
          <w:rStyle w:val="Odwoanieprzypisudolnego"/>
          <w:sz w:val="20"/>
          <w:szCs w:val="20"/>
          <w:lang w:val="en-GB" w:eastAsia="en-US"/>
        </w:rPr>
        <w:footnoteRef/>
      </w:r>
      <w:r w:rsidRPr="001D3B5A">
        <w:rPr>
          <w:rStyle w:val="Odwoanieprzypisudolnego"/>
        </w:rPr>
        <w:t xml:space="preserve"> </w:t>
      </w:r>
      <w:r w:rsidRPr="007F27D9">
        <w:rPr>
          <w:sz w:val="20"/>
          <w:szCs w:val="20"/>
          <w:lang w:val="en-GB" w:eastAsia="en-US"/>
        </w:rPr>
        <w:t>See also (Hogrefe, Kappler, 2013, p. 303).</w:t>
      </w:r>
    </w:p>
  </w:footnote>
  <w:footnote w:id="4">
    <w:p w:rsidR="00FB21F1" w:rsidRPr="004841E2" w:rsidRDefault="00FB21F1" w:rsidP="00FB21F1">
      <w:pPr>
        <w:pStyle w:val="Tekstprzypisudolnego"/>
        <w:tabs>
          <w:tab w:val="clear" w:pos="850"/>
          <w:tab w:val="clear" w:pos="1191"/>
          <w:tab w:val="clear" w:pos="1531"/>
        </w:tabs>
        <w:ind w:left="0" w:firstLine="1"/>
        <w:rPr>
          <w:lang w:val="pl-PL"/>
        </w:rPr>
      </w:pPr>
      <w:r>
        <w:rPr>
          <w:rStyle w:val="Odwoanieprzypisudolnego"/>
        </w:rPr>
        <w:footnoteRef/>
      </w:r>
      <w:r>
        <w:t xml:space="preserve"> </w:t>
      </w:r>
      <w:r w:rsidR="00224E3E">
        <w:t>See</w:t>
      </w:r>
      <w:r>
        <w:rPr>
          <w:lang w:val="pl-PL"/>
        </w:rPr>
        <w:t xml:space="preserve"> (OECD, 2012, p. 113; </w:t>
      </w:r>
      <w:r w:rsidRPr="009E6DE5">
        <w:rPr>
          <w:lang w:val="pl-PL"/>
        </w:rPr>
        <w:t>Hogrefe, Kappler, 2013, p. 305</w:t>
      </w:r>
      <w:r>
        <w:rPr>
          <w:lang w:val="pl-PL"/>
        </w:rPr>
        <w:t xml:space="preserve">; </w:t>
      </w:r>
      <w:r w:rsidRPr="007F0BEC">
        <w:rPr>
          <w:lang w:val="pl-PL"/>
        </w:rPr>
        <w:t>Hutchinson, Persyn, 2012</w:t>
      </w:r>
      <w:r>
        <w:t xml:space="preserve">, p. 18; </w:t>
      </w:r>
      <w:r w:rsidRPr="0064387E">
        <w:rPr>
          <w:lang w:val="pl-PL"/>
        </w:rPr>
        <w:t>Bassanini, Manfredi, 2012</w:t>
      </w:r>
      <w:r>
        <w:rPr>
          <w:lang w:val="pl-PL"/>
        </w:rPr>
        <w:t>, p. 8).</w:t>
      </w:r>
    </w:p>
  </w:footnote>
  <w:footnote w:id="5">
    <w:p w:rsidR="00BC628D" w:rsidRDefault="00BC628D" w:rsidP="00BC628D">
      <w:pPr>
        <w:pStyle w:val="Tekstprzypisudolnego"/>
        <w:spacing w:after="0"/>
        <w:rPr>
          <w:lang w:val="en-US"/>
        </w:rPr>
      </w:pPr>
      <w:r>
        <w:rPr>
          <w:rStyle w:val="Odwoanieprzypisudolnego"/>
        </w:rPr>
        <w:footnoteRef/>
      </w:r>
      <w:r>
        <w:t xml:space="preserve"> </w:t>
      </w:r>
      <w:r>
        <w:t>See for instance (</w:t>
      </w:r>
      <w:r>
        <w:t>The Quality of Growth</w:t>
      </w:r>
      <w:r>
        <w:rPr>
          <w:b/>
        </w:rPr>
        <w:t>,</w:t>
      </w:r>
      <w:r>
        <w:t xml:space="preserve"> 2000</w:t>
      </w:r>
      <w:r>
        <w:t>),</w:t>
      </w:r>
      <w:r>
        <w:rPr>
          <w:lang w:val="en-US"/>
        </w:rPr>
        <w:t xml:space="preserve"> </w:t>
      </w:r>
      <w:r>
        <w:t>(Mućk,</w:t>
      </w:r>
      <w:r w:rsidRPr="004D40EF">
        <w:t xml:space="preserve"> 2015)</w:t>
      </w:r>
      <w:r>
        <w:rPr>
          <w:lang w:val="en-US"/>
        </w:rPr>
        <w:t>.</w:t>
      </w:r>
    </w:p>
  </w:footnote>
  <w:footnote w:id="6">
    <w:p w:rsidR="00AD2741" w:rsidRPr="00AD2741" w:rsidRDefault="00AD2741" w:rsidP="00EF5367">
      <w:pPr>
        <w:pStyle w:val="Tekstprzypisudolnego"/>
        <w:spacing w:after="0"/>
        <w:ind w:left="851" w:hanging="851"/>
        <w:rPr>
          <w:lang w:val="pl-PL"/>
        </w:rPr>
      </w:pPr>
      <w:r>
        <w:rPr>
          <w:rStyle w:val="Odwoanieprzypisudolnego"/>
        </w:rPr>
        <w:footnoteRef/>
      </w:r>
      <w:r>
        <w:t xml:space="preserve"> </w:t>
      </w:r>
      <w:r w:rsidRPr="00AD2741">
        <w:t>http://www.conference</w:t>
      </w:r>
      <w:r>
        <w:t>-board.org/data/economydatabase</w:t>
      </w:r>
      <w:r>
        <w:t>.</w:t>
      </w:r>
    </w:p>
  </w:footnote>
  <w:footnote w:id="7">
    <w:p w:rsidR="00EF5367" w:rsidRPr="00EF5367" w:rsidRDefault="00EF5367" w:rsidP="00EF5367">
      <w:pPr>
        <w:pStyle w:val="Tekstprzypisudolnego"/>
        <w:spacing w:after="0"/>
        <w:ind w:left="851" w:hanging="851"/>
        <w:rPr>
          <w:lang w:val="pl-PL"/>
        </w:rPr>
      </w:pPr>
      <w:r>
        <w:rPr>
          <w:rStyle w:val="Odwoanieprzypisudolnego"/>
        </w:rPr>
        <w:footnoteRef/>
      </w:r>
      <w:r>
        <w:t xml:space="preserve"> Exactly the same </w:t>
      </w:r>
      <w:r>
        <w:rPr>
          <w:lang w:val="pl-PL"/>
        </w:rPr>
        <w:t>results were obtained by use of k-means method.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3in;height:3in" o:bullet="t"/>
    </w:pict>
  </w:numPicBullet>
  <w:abstractNum w:abstractNumId="0" w15:restartNumberingAfterBreak="0">
    <w:nsid w:val="072A1372"/>
    <w:multiLevelType w:val="hybridMultilevel"/>
    <w:tmpl w:val="4B847F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4B5E83"/>
    <w:multiLevelType w:val="multilevel"/>
    <w:tmpl w:val="108081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82154"/>
    <w:multiLevelType w:val="singleLevel"/>
    <w:tmpl w:val="9702C680"/>
    <w:lvl w:ilvl="0">
      <w:start w:val="1"/>
      <w:numFmt w:val="decimal"/>
      <w:lvlText w:val="%1."/>
      <w:legacy w:legacy="1" w:legacySpace="0" w:legacyIndent="504"/>
      <w:lvlJc w:val="left"/>
      <w:pPr>
        <w:ind w:left="504" w:hanging="504"/>
      </w:pPr>
    </w:lvl>
  </w:abstractNum>
  <w:abstractNum w:abstractNumId="3" w15:restartNumberingAfterBreak="0">
    <w:nsid w:val="5876699A"/>
    <w:multiLevelType w:val="hybridMultilevel"/>
    <w:tmpl w:val="4E521C38"/>
    <w:lvl w:ilvl="0" w:tplc="BD18C29C">
      <w:start w:val="1"/>
      <w:numFmt w:val="decimal"/>
      <w:lvlText w:val="%1."/>
      <w:lvlJc w:val="left"/>
      <w:pPr>
        <w:tabs>
          <w:tab w:val="num" w:pos="420"/>
        </w:tabs>
        <w:ind w:left="42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D39455B"/>
    <w:multiLevelType w:val="hybridMultilevel"/>
    <w:tmpl w:val="0A1C4980"/>
    <w:lvl w:ilvl="0" w:tplc="454A9350">
      <w:start w:val="1"/>
      <w:numFmt w:val="bullet"/>
      <w:lvlText w:val=""/>
      <w:lvlJc w:val="left"/>
      <w:pPr>
        <w:tabs>
          <w:tab w:val="num" w:pos="720"/>
        </w:tabs>
        <w:ind w:left="720" w:hanging="360"/>
      </w:pPr>
      <w:rPr>
        <w:rFonts w:ascii="Wingdings" w:hAnsi="Wingdings" w:hint="default"/>
      </w:rPr>
    </w:lvl>
    <w:lvl w:ilvl="1" w:tplc="DDD4CFDC" w:tentative="1">
      <w:start w:val="1"/>
      <w:numFmt w:val="bullet"/>
      <w:lvlText w:val=""/>
      <w:lvlJc w:val="left"/>
      <w:pPr>
        <w:tabs>
          <w:tab w:val="num" w:pos="1440"/>
        </w:tabs>
        <w:ind w:left="1440" w:hanging="360"/>
      </w:pPr>
      <w:rPr>
        <w:rFonts w:ascii="Wingdings" w:hAnsi="Wingdings" w:hint="default"/>
      </w:rPr>
    </w:lvl>
    <w:lvl w:ilvl="2" w:tplc="B73CF588" w:tentative="1">
      <w:start w:val="1"/>
      <w:numFmt w:val="bullet"/>
      <w:lvlText w:val=""/>
      <w:lvlJc w:val="left"/>
      <w:pPr>
        <w:tabs>
          <w:tab w:val="num" w:pos="2160"/>
        </w:tabs>
        <w:ind w:left="2160" w:hanging="360"/>
      </w:pPr>
      <w:rPr>
        <w:rFonts w:ascii="Wingdings" w:hAnsi="Wingdings" w:hint="default"/>
      </w:rPr>
    </w:lvl>
    <w:lvl w:ilvl="3" w:tplc="1848E956" w:tentative="1">
      <w:start w:val="1"/>
      <w:numFmt w:val="bullet"/>
      <w:lvlText w:val=""/>
      <w:lvlJc w:val="left"/>
      <w:pPr>
        <w:tabs>
          <w:tab w:val="num" w:pos="2880"/>
        </w:tabs>
        <w:ind w:left="2880" w:hanging="360"/>
      </w:pPr>
      <w:rPr>
        <w:rFonts w:ascii="Wingdings" w:hAnsi="Wingdings" w:hint="default"/>
      </w:rPr>
    </w:lvl>
    <w:lvl w:ilvl="4" w:tplc="39861DA4" w:tentative="1">
      <w:start w:val="1"/>
      <w:numFmt w:val="bullet"/>
      <w:lvlText w:val=""/>
      <w:lvlJc w:val="left"/>
      <w:pPr>
        <w:tabs>
          <w:tab w:val="num" w:pos="3600"/>
        </w:tabs>
        <w:ind w:left="3600" w:hanging="360"/>
      </w:pPr>
      <w:rPr>
        <w:rFonts w:ascii="Wingdings" w:hAnsi="Wingdings" w:hint="default"/>
      </w:rPr>
    </w:lvl>
    <w:lvl w:ilvl="5" w:tplc="A3127036" w:tentative="1">
      <w:start w:val="1"/>
      <w:numFmt w:val="bullet"/>
      <w:lvlText w:val=""/>
      <w:lvlJc w:val="left"/>
      <w:pPr>
        <w:tabs>
          <w:tab w:val="num" w:pos="4320"/>
        </w:tabs>
        <w:ind w:left="4320" w:hanging="360"/>
      </w:pPr>
      <w:rPr>
        <w:rFonts w:ascii="Wingdings" w:hAnsi="Wingdings" w:hint="default"/>
      </w:rPr>
    </w:lvl>
    <w:lvl w:ilvl="6" w:tplc="45565576" w:tentative="1">
      <w:start w:val="1"/>
      <w:numFmt w:val="bullet"/>
      <w:lvlText w:val=""/>
      <w:lvlJc w:val="left"/>
      <w:pPr>
        <w:tabs>
          <w:tab w:val="num" w:pos="5040"/>
        </w:tabs>
        <w:ind w:left="5040" w:hanging="360"/>
      </w:pPr>
      <w:rPr>
        <w:rFonts w:ascii="Wingdings" w:hAnsi="Wingdings" w:hint="default"/>
      </w:rPr>
    </w:lvl>
    <w:lvl w:ilvl="7" w:tplc="04C8EA3A" w:tentative="1">
      <w:start w:val="1"/>
      <w:numFmt w:val="bullet"/>
      <w:lvlText w:val=""/>
      <w:lvlJc w:val="left"/>
      <w:pPr>
        <w:tabs>
          <w:tab w:val="num" w:pos="5760"/>
        </w:tabs>
        <w:ind w:left="5760" w:hanging="360"/>
      </w:pPr>
      <w:rPr>
        <w:rFonts w:ascii="Wingdings" w:hAnsi="Wingdings" w:hint="default"/>
      </w:rPr>
    </w:lvl>
    <w:lvl w:ilvl="8" w:tplc="3FB0A04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lvlOverride w:ilvl="0">
      <w:lvl w:ilvl="0">
        <w:start w:val="1"/>
        <w:numFmt w:val="decimal"/>
        <w:lvlText w:val="%1."/>
        <w:legacy w:legacy="1" w:legacySpace="0" w:legacyIndent="504"/>
        <w:lvlJc w:val="left"/>
        <w:pPr>
          <w:ind w:left="504" w:hanging="504"/>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01"/>
    <w:rsid w:val="00040BDC"/>
    <w:rsid w:val="00056AAF"/>
    <w:rsid w:val="000A33EB"/>
    <w:rsid w:val="000A5A97"/>
    <w:rsid w:val="000A5BB6"/>
    <w:rsid w:val="000B6EC2"/>
    <w:rsid w:val="000E30B8"/>
    <w:rsid w:val="000E36A8"/>
    <w:rsid w:val="000E51F6"/>
    <w:rsid w:val="00112947"/>
    <w:rsid w:val="00157299"/>
    <w:rsid w:val="001701D2"/>
    <w:rsid w:val="00176DCA"/>
    <w:rsid w:val="001A4587"/>
    <w:rsid w:val="001B1DAB"/>
    <w:rsid w:val="001B5A1B"/>
    <w:rsid w:val="001B644A"/>
    <w:rsid w:val="001C1085"/>
    <w:rsid w:val="001D3B5A"/>
    <w:rsid w:val="001D72BA"/>
    <w:rsid w:val="00206FE4"/>
    <w:rsid w:val="00207AFA"/>
    <w:rsid w:val="002133D4"/>
    <w:rsid w:val="00224E3E"/>
    <w:rsid w:val="00260677"/>
    <w:rsid w:val="00272441"/>
    <w:rsid w:val="00274239"/>
    <w:rsid w:val="00274FB4"/>
    <w:rsid w:val="0028043A"/>
    <w:rsid w:val="002831A5"/>
    <w:rsid w:val="002965B3"/>
    <w:rsid w:val="002E45F3"/>
    <w:rsid w:val="002E50CC"/>
    <w:rsid w:val="00312F74"/>
    <w:rsid w:val="00313DF4"/>
    <w:rsid w:val="003151EC"/>
    <w:rsid w:val="00316481"/>
    <w:rsid w:val="00331AAF"/>
    <w:rsid w:val="003716E7"/>
    <w:rsid w:val="00381B1E"/>
    <w:rsid w:val="003832B5"/>
    <w:rsid w:val="00385380"/>
    <w:rsid w:val="003E2C20"/>
    <w:rsid w:val="003F0CE2"/>
    <w:rsid w:val="003F48BD"/>
    <w:rsid w:val="00402994"/>
    <w:rsid w:val="00412063"/>
    <w:rsid w:val="004305BB"/>
    <w:rsid w:val="0045356F"/>
    <w:rsid w:val="00462D0D"/>
    <w:rsid w:val="00464837"/>
    <w:rsid w:val="00466244"/>
    <w:rsid w:val="004841E2"/>
    <w:rsid w:val="004844FB"/>
    <w:rsid w:val="004914E6"/>
    <w:rsid w:val="004A146F"/>
    <w:rsid w:val="004B2D01"/>
    <w:rsid w:val="004C3539"/>
    <w:rsid w:val="004C7170"/>
    <w:rsid w:val="004D40EF"/>
    <w:rsid w:val="004E0022"/>
    <w:rsid w:val="004E034E"/>
    <w:rsid w:val="004E6D37"/>
    <w:rsid w:val="00506800"/>
    <w:rsid w:val="00515486"/>
    <w:rsid w:val="00527F81"/>
    <w:rsid w:val="0053017B"/>
    <w:rsid w:val="00560477"/>
    <w:rsid w:val="00572DBD"/>
    <w:rsid w:val="005A29A8"/>
    <w:rsid w:val="005A6678"/>
    <w:rsid w:val="005D0C32"/>
    <w:rsid w:val="005D530E"/>
    <w:rsid w:val="005E422D"/>
    <w:rsid w:val="005F0D61"/>
    <w:rsid w:val="005F61E0"/>
    <w:rsid w:val="005F648C"/>
    <w:rsid w:val="006030E5"/>
    <w:rsid w:val="00610F36"/>
    <w:rsid w:val="00611CC0"/>
    <w:rsid w:val="00620B1A"/>
    <w:rsid w:val="006273BC"/>
    <w:rsid w:val="00631186"/>
    <w:rsid w:val="00637A7E"/>
    <w:rsid w:val="0064207D"/>
    <w:rsid w:val="0064387E"/>
    <w:rsid w:val="00653DC1"/>
    <w:rsid w:val="00656998"/>
    <w:rsid w:val="00656B91"/>
    <w:rsid w:val="00656CF7"/>
    <w:rsid w:val="00657C6F"/>
    <w:rsid w:val="00672FC4"/>
    <w:rsid w:val="00674908"/>
    <w:rsid w:val="00681EC0"/>
    <w:rsid w:val="006A089B"/>
    <w:rsid w:val="006B1994"/>
    <w:rsid w:val="006B1A73"/>
    <w:rsid w:val="006B6377"/>
    <w:rsid w:val="006E6B63"/>
    <w:rsid w:val="006F6B52"/>
    <w:rsid w:val="00702685"/>
    <w:rsid w:val="007055B9"/>
    <w:rsid w:val="007224CF"/>
    <w:rsid w:val="007413CB"/>
    <w:rsid w:val="00745779"/>
    <w:rsid w:val="00755F6F"/>
    <w:rsid w:val="007720AA"/>
    <w:rsid w:val="007A7401"/>
    <w:rsid w:val="007A79AF"/>
    <w:rsid w:val="007C3D00"/>
    <w:rsid w:val="007C75C2"/>
    <w:rsid w:val="007E0151"/>
    <w:rsid w:val="007F0BEC"/>
    <w:rsid w:val="007F10C3"/>
    <w:rsid w:val="007F2495"/>
    <w:rsid w:val="007F27D9"/>
    <w:rsid w:val="007F6E52"/>
    <w:rsid w:val="00800A8B"/>
    <w:rsid w:val="00812E90"/>
    <w:rsid w:val="008308DF"/>
    <w:rsid w:val="00834BB2"/>
    <w:rsid w:val="00852C21"/>
    <w:rsid w:val="00853E6E"/>
    <w:rsid w:val="00877AA6"/>
    <w:rsid w:val="0089404E"/>
    <w:rsid w:val="008B2299"/>
    <w:rsid w:val="008D7524"/>
    <w:rsid w:val="009077D6"/>
    <w:rsid w:val="0092235F"/>
    <w:rsid w:val="00937ADD"/>
    <w:rsid w:val="00971B24"/>
    <w:rsid w:val="00973818"/>
    <w:rsid w:val="00976F20"/>
    <w:rsid w:val="009A1BEA"/>
    <w:rsid w:val="009C0335"/>
    <w:rsid w:val="009D4467"/>
    <w:rsid w:val="009D6BCD"/>
    <w:rsid w:val="009E3AAF"/>
    <w:rsid w:val="009E4429"/>
    <w:rsid w:val="009E6DE5"/>
    <w:rsid w:val="009F7521"/>
    <w:rsid w:val="00A20855"/>
    <w:rsid w:val="00A21436"/>
    <w:rsid w:val="00A22FFE"/>
    <w:rsid w:val="00A23506"/>
    <w:rsid w:val="00A253F8"/>
    <w:rsid w:val="00A4352C"/>
    <w:rsid w:val="00A50128"/>
    <w:rsid w:val="00A50A9C"/>
    <w:rsid w:val="00A57B86"/>
    <w:rsid w:val="00A64590"/>
    <w:rsid w:val="00A665E9"/>
    <w:rsid w:val="00A71801"/>
    <w:rsid w:val="00A8358F"/>
    <w:rsid w:val="00A84A07"/>
    <w:rsid w:val="00AA6B6B"/>
    <w:rsid w:val="00AD1CBF"/>
    <w:rsid w:val="00AD2741"/>
    <w:rsid w:val="00B0565F"/>
    <w:rsid w:val="00B0721B"/>
    <w:rsid w:val="00B67912"/>
    <w:rsid w:val="00B723F1"/>
    <w:rsid w:val="00B77C04"/>
    <w:rsid w:val="00B81FA1"/>
    <w:rsid w:val="00B942F3"/>
    <w:rsid w:val="00BC0250"/>
    <w:rsid w:val="00BC628D"/>
    <w:rsid w:val="00BD465E"/>
    <w:rsid w:val="00BE3102"/>
    <w:rsid w:val="00BE70DB"/>
    <w:rsid w:val="00BF677E"/>
    <w:rsid w:val="00C1602D"/>
    <w:rsid w:val="00C3271D"/>
    <w:rsid w:val="00C42BE0"/>
    <w:rsid w:val="00C52AB0"/>
    <w:rsid w:val="00C5480C"/>
    <w:rsid w:val="00C60EF0"/>
    <w:rsid w:val="00C622E1"/>
    <w:rsid w:val="00C65DC2"/>
    <w:rsid w:val="00CA0D9F"/>
    <w:rsid w:val="00CD6882"/>
    <w:rsid w:val="00CE380E"/>
    <w:rsid w:val="00D20050"/>
    <w:rsid w:val="00D342B1"/>
    <w:rsid w:val="00D366AA"/>
    <w:rsid w:val="00D44E59"/>
    <w:rsid w:val="00D61688"/>
    <w:rsid w:val="00D766CB"/>
    <w:rsid w:val="00D92867"/>
    <w:rsid w:val="00DB6C65"/>
    <w:rsid w:val="00DC034C"/>
    <w:rsid w:val="00DC4C3D"/>
    <w:rsid w:val="00DD1C87"/>
    <w:rsid w:val="00DD4BA4"/>
    <w:rsid w:val="00DE1221"/>
    <w:rsid w:val="00DE2547"/>
    <w:rsid w:val="00E07D4F"/>
    <w:rsid w:val="00E101B7"/>
    <w:rsid w:val="00E1064D"/>
    <w:rsid w:val="00E36122"/>
    <w:rsid w:val="00E375DB"/>
    <w:rsid w:val="00E44476"/>
    <w:rsid w:val="00E45F7C"/>
    <w:rsid w:val="00E54096"/>
    <w:rsid w:val="00E72A95"/>
    <w:rsid w:val="00E80669"/>
    <w:rsid w:val="00E8173C"/>
    <w:rsid w:val="00E97113"/>
    <w:rsid w:val="00EA5C81"/>
    <w:rsid w:val="00EA7B6E"/>
    <w:rsid w:val="00EB5891"/>
    <w:rsid w:val="00EC2100"/>
    <w:rsid w:val="00ED09EE"/>
    <w:rsid w:val="00ED4895"/>
    <w:rsid w:val="00EE0F26"/>
    <w:rsid w:val="00EF5367"/>
    <w:rsid w:val="00F10786"/>
    <w:rsid w:val="00F1690C"/>
    <w:rsid w:val="00F27195"/>
    <w:rsid w:val="00F40CAD"/>
    <w:rsid w:val="00F448DA"/>
    <w:rsid w:val="00F60037"/>
    <w:rsid w:val="00F6298E"/>
    <w:rsid w:val="00F633D8"/>
    <w:rsid w:val="00F6428E"/>
    <w:rsid w:val="00F6488B"/>
    <w:rsid w:val="00F65AE8"/>
    <w:rsid w:val="00F73424"/>
    <w:rsid w:val="00F739E9"/>
    <w:rsid w:val="00FA0D61"/>
    <w:rsid w:val="00FA5622"/>
    <w:rsid w:val="00FB21F1"/>
    <w:rsid w:val="00FB2660"/>
    <w:rsid w:val="00FB5775"/>
    <w:rsid w:val="00FC109E"/>
    <w:rsid w:val="00FE5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ECF0-684F-4253-A38B-7BB7C99F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5480C"/>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teraturverzeichnis">
    <w:name w:val="Literaturverzeichnis"/>
    <w:basedOn w:val="Normalny"/>
    <w:rsid w:val="00272441"/>
    <w:pPr>
      <w:tabs>
        <w:tab w:val="left" w:pos="284"/>
      </w:tabs>
      <w:autoSpaceDE w:val="0"/>
      <w:autoSpaceDN w:val="0"/>
      <w:adjustRightInd w:val="0"/>
      <w:spacing w:line="240" w:lineRule="auto"/>
      <w:ind w:left="284" w:hanging="284"/>
    </w:pPr>
    <w:rPr>
      <w:rFonts w:ascii="Book Antiqua" w:eastAsia="Times New Roman" w:hAnsi="Book Antiqua" w:cs="Times New Roman"/>
      <w:szCs w:val="18"/>
      <w:lang w:val="en-US" w:eastAsia="de-DE"/>
    </w:rPr>
  </w:style>
  <w:style w:type="paragraph" w:customStyle="1" w:styleId="Default">
    <w:name w:val="Default"/>
    <w:rsid w:val="003151EC"/>
    <w:pPr>
      <w:autoSpaceDE w:val="0"/>
      <w:autoSpaceDN w:val="0"/>
      <w:adjustRightInd w:val="0"/>
      <w:spacing w:after="0" w:line="240" w:lineRule="auto"/>
      <w:jc w:val="left"/>
    </w:pPr>
    <w:rPr>
      <w:rFonts w:ascii="Trebuchet MS" w:hAnsi="Trebuchet MS" w:cs="Trebuchet MS"/>
      <w:color w:val="000000"/>
    </w:rPr>
  </w:style>
  <w:style w:type="character" w:styleId="Hipercze">
    <w:name w:val="Hyperlink"/>
    <w:basedOn w:val="Domylnaczcionkaakapitu"/>
    <w:uiPriority w:val="99"/>
    <w:unhideWhenUsed/>
    <w:rsid w:val="00A57B86"/>
    <w:rPr>
      <w:color w:val="0563C1" w:themeColor="hyperlink"/>
      <w:u w:val="single"/>
    </w:rPr>
  </w:style>
  <w:style w:type="character" w:styleId="Odwoanieprzypisudolnego">
    <w:name w:val="footnote reference"/>
    <w:basedOn w:val="Domylnaczcionkaakapitu"/>
    <w:semiHidden/>
    <w:rsid w:val="0089404E"/>
    <w:rPr>
      <w:vertAlign w:val="superscript"/>
    </w:rPr>
  </w:style>
  <w:style w:type="paragraph" w:styleId="Tekstprzypisudolnego">
    <w:name w:val="footnote text"/>
    <w:basedOn w:val="Normalny"/>
    <w:link w:val="TekstprzypisudolnegoZnak"/>
    <w:semiHidden/>
    <w:rsid w:val="0089404E"/>
    <w:pPr>
      <w:tabs>
        <w:tab w:val="left" w:pos="850"/>
        <w:tab w:val="left" w:pos="1191"/>
        <w:tab w:val="left" w:pos="1531"/>
      </w:tabs>
      <w:spacing w:line="240" w:lineRule="auto"/>
      <w:ind w:left="850" w:hanging="850"/>
    </w:pPr>
    <w:rPr>
      <w:rFonts w:eastAsia="Times New Roman" w:cs="Times New Roman"/>
      <w:sz w:val="20"/>
      <w:szCs w:val="20"/>
      <w:lang w:val="en-GB"/>
    </w:rPr>
  </w:style>
  <w:style w:type="character" w:customStyle="1" w:styleId="TekstprzypisudolnegoZnak">
    <w:name w:val="Tekst przypisu dolnego Znak"/>
    <w:basedOn w:val="Domylnaczcionkaakapitu"/>
    <w:link w:val="Tekstprzypisudolnego"/>
    <w:semiHidden/>
    <w:rsid w:val="0089404E"/>
    <w:rPr>
      <w:rFonts w:ascii="Times New Roman" w:eastAsia="Times New Roman" w:hAnsi="Times New Roman" w:cs="Times New Roman"/>
      <w:sz w:val="20"/>
      <w:szCs w:val="20"/>
      <w:lang w:val="en-GB"/>
    </w:rPr>
  </w:style>
  <w:style w:type="paragraph" w:styleId="Tekstpodstawowywcity2">
    <w:name w:val="Body Text Indent 2"/>
    <w:basedOn w:val="Normalny"/>
    <w:link w:val="Tekstpodstawowywcity2Znak"/>
    <w:rsid w:val="009C0335"/>
    <w:pPr>
      <w:spacing w:after="0" w:line="360" w:lineRule="atLeast"/>
      <w:ind w:left="426" w:hanging="426"/>
    </w:pPr>
    <w:rPr>
      <w:rFonts w:eastAsia="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9C0335"/>
    <w:rPr>
      <w:rFonts w:ascii="Times New Roman" w:eastAsia="Times New Roman" w:hAnsi="Times New Roman" w:cs="Times New Roman"/>
      <w:sz w:val="26"/>
      <w:szCs w:val="20"/>
      <w:lang w:eastAsia="pl-PL"/>
    </w:rPr>
  </w:style>
  <w:style w:type="character" w:styleId="Pogrubienie">
    <w:name w:val="Strong"/>
    <w:basedOn w:val="Domylnaczcionkaakapitu"/>
    <w:uiPriority w:val="22"/>
    <w:qFormat/>
    <w:rsid w:val="003716E7"/>
    <w:rPr>
      <w:b/>
      <w:bCs/>
    </w:rPr>
  </w:style>
  <w:style w:type="character" w:customStyle="1" w:styleId="titleauthoretc5">
    <w:name w:val="titleauthoretc5"/>
    <w:basedOn w:val="Domylnaczcionkaakapitu"/>
    <w:rsid w:val="003716E7"/>
  </w:style>
  <w:style w:type="character" w:customStyle="1" w:styleId="title10">
    <w:name w:val="title10"/>
    <w:basedOn w:val="Domylnaczcionkaakapitu"/>
    <w:rsid w:val="003716E7"/>
  </w:style>
  <w:style w:type="character" w:customStyle="1" w:styleId="hiddentext1">
    <w:name w:val="hiddentext1"/>
    <w:basedOn w:val="Domylnaczcionkaakapitu"/>
    <w:rsid w:val="003716E7"/>
    <w:rPr>
      <w:vanish w:val="0"/>
      <w:webHidden w:val="0"/>
      <w:specVanish w:val="0"/>
    </w:rPr>
  </w:style>
  <w:style w:type="paragraph" w:styleId="NormalnyWeb">
    <w:name w:val="Normal (Web)"/>
    <w:basedOn w:val="Normalny"/>
    <w:uiPriority w:val="99"/>
    <w:unhideWhenUsed/>
    <w:rsid w:val="002965B3"/>
    <w:pPr>
      <w:spacing w:before="100" w:beforeAutospacing="1" w:after="100" w:afterAutospacing="1" w:line="240" w:lineRule="auto"/>
      <w:jc w:val="left"/>
    </w:pPr>
    <w:rPr>
      <w:rFonts w:eastAsia="Times New Roman" w:cs="Times New Roman"/>
      <w:lang w:eastAsia="pl-PL"/>
    </w:rPr>
  </w:style>
  <w:style w:type="character" w:customStyle="1" w:styleId="journaltitle">
    <w:name w:val="journaltitle"/>
    <w:basedOn w:val="Domylnaczcionkaakapitu"/>
    <w:rsid w:val="002965B3"/>
  </w:style>
  <w:style w:type="character" w:customStyle="1" w:styleId="articlecitationyear">
    <w:name w:val="articlecitation_year"/>
    <w:basedOn w:val="Domylnaczcionkaakapitu"/>
    <w:rsid w:val="002965B3"/>
  </w:style>
  <w:style w:type="character" w:customStyle="1" w:styleId="articlecitationvolume">
    <w:name w:val="articlecitation_volume"/>
    <w:basedOn w:val="Domylnaczcionkaakapitu"/>
    <w:rsid w:val="002965B3"/>
  </w:style>
  <w:style w:type="character" w:customStyle="1" w:styleId="articlecitationpages">
    <w:name w:val="articlecitation_pages"/>
    <w:basedOn w:val="Domylnaczcionkaakapitu"/>
    <w:rsid w:val="002965B3"/>
  </w:style>
  <w:style w:type="character" w:styleId="HTML-cytat">
    <w:name w:val="HTML Cite"/>
    <w:basedOn w:val="Domylnaczcionkaakapitu"/>
    <w:uiPriority w:val="99"/>
    <w:semiHidden/>
    <w:unhideWhenUsed/>
    <w:rsid w:val="00BC628D"/>
    <w:rPr>
      <w:i/>
      <w:iCs/>
    </w:rPr>
  </w:style>
  <w:style w:type="character" w:customStyle="1" w:styleId="cit-sep2">
    <w:name w:val="cit-sep2"/>
    <w:basedOn w:val="Domylnaczcionkaakapitu"/>
    <w:rsid w:val="00BC628D"/>
  </w:style>
  <w:style w:type="character" w:customStyle="1" w:styleId="cit-subtitle">
    <w:name w:val="cit-subtitle"/>
    <w:basedOn w:val="Domylnaczcionkaakapitu"/>
    <w:rsid w:val="00BC628D"/>
  </w:style>
  <w:style w:type="character" w:customStyle="1" w:styleId="cit-print-date2">
    <w:name w:val="cit-print-date2"/>
    <w:basedOn w:val="Domylnaczcionkaakapitu"/>
    <w:rsid w:val="00BC628D"/>
  </w:style>
  <w:style w:type="character" w:customStyle="1" w:styleId="cit-vol2">
    <w:name w:val="cit-vol2"/>
    <w:basedOn w:val="Domylnaczcionkaakapitu"/>
    <w:rsid w:val="00BC628D"/>
  </w:style>
  <w:style w:type="character" w:customStyle="1" w:styleId="cit-first-page">
    <w:name w:val="cit-first-page"/>
    <w:basedOn w:val="Domylnaczcionkaakapitu"/>
    <w:rsid w:val="00BC628D"/>
  </w:style>
  <w:style w:type="character" w:customStyle="1" w:styleId="cit-last-page2">
    <w:name w:val="cit-last-page2"/>
    <w:basedOn w:val="Domylnaczcionkaakapitu"/>
    <w:rsid w:val="00BC628D"/>
  </w:style>
  <w:style w:type="character" w:customStyle="1" w:styleId="cit-doi3">
    <w:name w:val="cit-doi3"/>
    <w:basedOn w:val="Domylnaczcionkaakapitu"/>
    <w:rsid w:val="00BC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310">
      <w:bodyDiv w:val="1"/>
      <w:marLeft w:val="0"/>
      <w:marRight w:val="0"/>
      <w:marTop w:val="0"/>
      <w:marBottom w:val="0"/>
      <w:divBdr>
        <w:top w:val="none" w:sz="0" w:space="0" w:color="auto"/>
        <w:left w:val="none" w:sz="0" w:space="0" w:color="auto"/>
        <w:bottom w:val="none" w:sz="0" w:space="0" w:color="auto"/>
        <w:right w:val="none" w:sz="0" w:space="0" w:color="auto"/>
      </w:divBdr>
    </w:div>
    <w:div w:id="120658437">
      <w:bodyDiv w:val="1"/>
      <w:marLeft w:val="0"/>
      <w:marRight w:val="0"/>
      <w:marTop w:val="0"/>
      <w:marBottom w:val="0"/>
      <w:divBdr>
        <w:top w:val="none" w:sz="0" w:space="0" w:color="auto"/>
        <w:left w:val="none" w:sz="0" w:space="0" w:color="auto"/>
        <w:bottom w:val="none" w:sz="0" w:space="0" w:color="auto"/>
        <w:right w:val="none" w:sz="0" w:space="0" w:color="auto"/>
      </w:divBdr>
    </w:div>
    <w:div w:id="247202147">
      <w:bodyDiv w:val="1"/>
      <w:marLeft w:val="0"/>
      <w:marRight w:val="0"/>
      <w:marTop w:val="0"/>
      <w:marBottom w:val="0"/>
      <w:divBdr>
        <w:top w:val="none" w:sz="0" w:space="0" w:color="auto"/>
        <w:left w:val="none" w:sz="0" w:space="0" w:color="auto"/>
        <w:bottom w:val="none" w:sz="0" w:space="0" w:color="auto"/>
        <w:right w:val="none" w:sz="0" w:space="0" w:color="auto"/>
      </w:divBdr>
      <w:divsChild>
        <w:div w:id="1286355212">
          <w:marLeft w:val="0"/>
          <w:marRight w:val="0"/>
          <w:marTop w:val="0"/>
          <w:marBottom w:val="0"/>
          <w:divBdr>
            <w:top w:val="none" w:sz="0" w:space="0" w:color="auto"/>
            <w:left w:val="none" w:sz="0" w:space="0" w:color="auto"/>
            <w:bottom w:val="none" w:sz="0" w:space="0" w:color="auto"/>
            <w:right w:val="none" w:sz="0" w:space="0" w:color="auto"/>
          </w:divBdr>
          <w:divsChild>
            <w:div w:id="1747070064">
              <w:marLeft w:val="0"/>
              <w:marRight w:val="0"/>
              <w:marTop w:val="0"/>
              <w:marBottom w:val="0"/>
              <w:divBdr>
                <w:top w:val="none" w:sz="0" w:space="0" w:color="auto"/>
                <w:left w:val="none" w:sz="0" w:space="0" w:color="auto"/>
                <w:bottom w:val="none" w:sz="0" w:space="0" w:color="auto"/>
                <w:right w:val="none" w:sz="0" w:space="0" w:color="auto"/>
              </w:divBdr>
              <w:divsChild>
                <w:div w:id="1068264575">
                  <w:marLeft w:val="0"/>
                  <w:marRight w:val="0"/>
                  <w:marTop w:val="0"/>
                  <w:marBottom w:val="0"/>
                  <w:divBdr>
                    <w:top w:val="none" w:sz="0" w:space="0" w:color="auto"/>
                    <w:left w:val="none" w:sz="0" w:space="0" w:color="auto"/>
                    <w:bottom w:val="none" w:sz="0" w:space="0" w:color="auto"/>
                    <w:right w:val="none" w:sz="0" w:space="0" w:color="auto"/>
                  </w:divBdr>
                  <w:divsChild>
                    <w:div w:id="1477456924">
                      <w:marLeft w:val="0"/>
                      <w:marRight w:val="0"/>
                      <w:marTop w:val="0"/>
                      <w:marBottom w:val="0"/>
                      <w:divBdr>
                        <w:top w:val="none" w:sz="0" w:space="0" w:color="auto"/>
                        <w:left w:val="none" w:sz="0" w:space="0" w:color="auto"/>
                        <w:bottom w:val="none" w:sz="0" w:space="0" w:color="auto"/>
                        <w:right w:val="none" w:sz="0" w:space="0" w:color="auto"/>
                      </w:divBdr>
                      <w:divsChild>
                        <w:div w:id="1152216911">
                          <w:marLeft w:val="0"/>
                          <w:marRight w:val="0"/>
                          <w:marTop w:val="0"/>
                          <w:marBottom w:val="0"/>
                          <w:divBdr>
                            <w:top w:val="none" w:sz="0" w:space="0" w:color="auto"/>
                            <w:left w:val="none" w:sz="0" w:space="0" w:color="auto"/>
                            <w:bottom w:val="none" w:sz="0" w:space="0" w:color="auto"/>
                            <w:right w:val="none" w:sz="0" w:space="0" w:color="auto"/>
                          </w:divBdr>
                          <w:divsChild>
                            <w:div w:id="795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915">
      <w:bodyDiv w:val="1"/>
      <w:marLeft w:val="0"/>
      <w:marRight w:val="0"/>
      <w:marTop w:val="0"/>
      <w:marBottom w:val="0"/>
      <w:divBdr>
        <w:top w:val="none" w:sz="0" w:space="0" w:color="auto"/>
        <w:left w:val="none" w:sz="0" w:space="0" w:color="auto"/>
        <w:bottom w:val="none" w:sz="0" w:space="0" w:color="auto"/>
        <w:right w:val="none" w:sz="0" w:space="0" w:color="auto"/>
      </w:divBdr>
      <w:divsChild>
        <w:div w:id="1473712492">
          <w:marLeft w:val="446"/>
          <w:marRight w:val="0"/>
          <w:marTop w:val="0"/>
          <w:marBottom w:val="0"/>
          <w:divBdr>
            <w:top w:val="none" w:sz="0" w:space="0" w:color="auto"/>
            <w:left w:val="none" w:sz="0" w:space="0" w:color="auto"/>
            <w:bottom w:val="none" w:sz="0" w:space="0" w:color="auto"/>
            <w:right w:val="none" w:sz="0" w:space="0" w:color="auto"/>
          </w:divBdr>
        </w:div>
        <w:div w:id="2104300904">
          <w:marLeft w:val="446"/>
          <w:marRight w:val="0"/>
          <w:marTop w:val="0"/>
          <w:marBottom w:val="0"/>
          <w:divBdr>
            <w:top w:val="none" w:sz="0" w:space="0" w:color="auto"/>
            <w:left w:val="none" w:sz="0" w:space="0" w:color="auto"/>
            <w:bottom w:val="none" w:sz="0" w:space="0" w:color="auto"/>
            <w:right w:val="none" w:sz="0" w:space="0" w:color="auto"/>
          </w:divBdr>
        </w:div>
        <w:div w:id="614990438">
          <w:marLeft w:val="446"/>
          <w:marRight w:val="0"/>
          <w:marTop w:val="0"/>
          <w:marBottom w:val="0"/>
          <w:divBdr>
            <w:top w:val="none" w:sz="0" w:space="0" w:color="auto"/>
            <w:left w:val="none" w:sz="0" w:space="0" w:color="auto"/>
            <w:bottom w:val="none" w:sz="0" w:space="0" w:color="auto"/>
            <w:right w:val="none" w:sz="0" w:space="0" w:color="auto"/>
          </w:divBdr>
        </w:div>
        <w:div w:id="2092777983">
          <w:marLeft w:val="446"/>
          <w:marRight w:val="0"/>
          <w:marTop w:val="0"/>
          <w:marBottom w:val="0"/>
          <w:divBdr>
            <w:top w:val="none" w:sz="0" w:space="0" w:color="auto"/>
            <w:left w:val="none" w:sz="0" w:space="0" w:color="auto"/>
            <w:bottom w:val="none" w:sz="0" w:space="0" w:color="auto"/>
            <w:right w:val="none" w:sz="0" w:space="0" w:color="auto"/>
          </w:divBdr>
        </w:div>
        <w:div w:id="417798009">
          <w:marLeft w:val="446"/>
          <w:marRight w:val="0"/>
          <w:marTop w:val="0"/>
          <w:marBottom w:val="0"/>
          <w:divBdr>
            <w:top w:val="none" w:sz="0" w:space="0" w:color="auto"/>
            <w:left w:val="none" w:sz="0" w:space="0" w:color="auto"/>
            <w:bottom w:val="none" w:sz="0" w:space="0" w:color="auto"/>
            <w:right w:val="none" w:sz="0" w:space="0" w:color="auto"/>
          </w:divBdr>
        </w:div>
      </w:divsChild>
    </w:div>
    <w:div w:id="414282385">
      <w:bodyDiv w:val="1"/>
      <w:marLeft w:val="0"/>
      <w:marRight w:val="0"/>
      <w:marTop w:val="0"/>
      <w:marBottom w:val="0"/>
      <w:divBdr>
        <w:top w:val="none" w:sz="0" w:space="0" w:color="auto"/>
        <w:left w:val="none" w:sz="0" w:space="0" w:color="auto"/>
        <w:bottom w:val="none" w:sz="0" w:space="0" w:color="auto"/>
        <w:right w:val="none" w:sz="0" w:space="0" w:color="auto"/>
      </w:divBdr>
    </w:div>
    <w:div w:id="453406316">
      <w:bodyDiv w:val="1"/>
      <w:marLeft w:val="0"/>
      <w:marRight w:val="0"/>
      <w:marTop w:val="0"/>
      <w:marBottom w:val="0"/>
      <w:divBdr>
        <w:top w:val="none" w:sz="0" w:space="0" w:color="auto"/>
        <w:left w:val="none" w:sz="0" w:space="0" w:color="auto"/>
        <w:bottom w:val="none" w:sz="0" w:space="0" w:color="auto"/>
        <w:right w:val="none" w:sz="0" w:space="0" w:color="auto"/>
      </w:divBdr>
    </w:div>
    <w:div w:id="512113431">
      <w:bodyDiv w:val="1"/>
      <w:marLeft w:val="0"/>
      <w:marRight w:val="0"/>
      <w:marTop w:val="0"/>
      <w:marBottom w:val="0"/>
      <w:divBdr>
        <w:top w:val="none" w:sz="0" w:space="0" w:color="auto"/>
        <w:left w:val="none" w:sz="0" w:space="0" w:color="auto"/>
        <w:bottom w:val="none" w:sz="0" w:space="0" w:color="auto"/>
        <w:right w:val="none" w:sz="0" w:space="0" w:color="auto"/>
      </w:divBdr>
    </w:div>
    <w:div w:id="567766124">
      <w:bodyDiv w:val="1"/>
      <w:marLeft w:val="0"/>
      <w:marRight w:val="0"/>
      <w:marTop w:val="0"/>
      <w:marBottom w:val="0"/>
      <w:divBdr>
        <w:top w:val="none" w:sz="0" w:space="0" w:color="auto"/>
        <w:left w:val="none" w:sz="0" w:space="0" w:color="auto"/>
        <w:bottom w:val="none" w:sz="0" w:space="0" w:color="auto"/>
        <w:right w:val="none" w:sz="0" w:space="0" w:color="auto"/>
      </w:divBdr>
    </w:div>
    <w:div w:id="608782505">
      <w:bodyDiv w:val="1"/>
      <w:marLeft w:val="0"/>
      <w:marRight w:val="0"/>
      <w:marTop w:val="0"/>
      <w:marBottom w:val="0"/>
      <w:divBdr>
        <w:top w:val="none" w:sz="0" w:space="0" w:color="auto"/>
        <w:left w:val="none" w:sz="0" w:space="0" w:color="auto"/>
        <w:bottom w:val="none" w:sz="0" w:space="0" w:color="auto"/>
        <w:right w:val="none" w:sz="0" w:space="0" w:color="auto"/>
      </w:divBdr>
    </w:div>
    <w:div w:id="697200103">
      <w:bodyDiv w:val="1"/>
      <w:marLeft w:val="0"/>
      <w:marRight w:val="0"/>
      <w:marTop w:val="0"/>
      <w:marBottom w:val="0"/>
      <w:divBdr>
        <w:top w:val="none" w:sz="0" w:space="0" w:color="auto"/>
        <w:left w:val="none" w:sz="0" w:space="0" w:color="auto"/>
        <w:bottom w:val="none" w:sz="0" w:space="0" w:color="auto"/>
        <w:right w:val="none" w:sz="0" w:space="0" w:color="auto"/>
      </w:divBdr>
    </w:div>
    <w:div w:id="1048608037">
      <w:bodyDiv w:val="1"/>
      <w:marLeft w:val="0"/>
      <w:marRight w:val="0"/>
      <w:marTop w:val="0"/>
      <w:marBottom w:val="0"/>
      <w:divBdr>
        <w:top w:val="none" w:sz="0" w:space="0" w:color="auto"/>
        <w:left w:val="none" w:sz="0" w:space="0" w:color="auto"/>
        <w:bottom w:val="none" w:sz="0" w:space="0" w:color="auto"/>
        <w:right w:val="none" w:sz="0" w:space="0" w:color="auto"/>
      </w:divBdr>
      <w:divsChild>
        <w:div w:id="1191066373">
          <w:marLeft w:val="0"/>
          <w:marRight w:val="0"/>
          <w:marTop w:val="0"/>
          <w:marBottom w:val="0"/>
          <w:divBdr>
            <w:top w:val="none" w:sz="0" w:space="0" w:color="auto"/>
            <w:left w:val="none" w:sz="0" w:space="0" w:color="auto"/>
            <w:bottom w:val="none" w:sz="0" w:space="0" w:color="auto"/>
            <w:right w:val="none" w:sz="0" w:space="0" w:color="auto"/>
          </w:divBdr>
          <w:divsChild>
            <w:div w:id="109710172">
              <w:marLeft w:val="0"/>
              <w:marRight w:val="0"/>
              <w:marTop w:val="0"/>
              <w:marBottom w:val="0"/>
              <w:divBdr>
                <w:top w:val="none" w:sz="0" w:space="0" w:color="auto"/>
                <w:left w:val="none" w:sz="0" w:space="0" w:color="auto"/>
                <w:bottom w:val="none" w:sz="0" w:space="0" w:color="auto"/>
                <w:right w:val="none" w:sz="0" w:space="0" w:color="auto"/>
              </w:divBdr>
              <w:divsChild>
                <w:div w:id="1307316235">
                  <w:marLeft w:val="0"/>
                  <w:marRight w:val="0"/>
                  <w:marTop w:val="360"/>
                  <w:marBottom w:val="0"/>
                  <w:divBdr>
                    <w:top w:val="single" w:sz="6" w:space="6" w:color="660033"/>
                    <w:left w:val="none" w:sz="0" w:space="0" w:color="auto"/>
                    <w:bottom w:val="none" w:sz="0" w:space="0" w:color="auto"/>
                    <w:right w:val="none" w:sz="0" w:space="0" w:color="auto"/>
                  </w:divBdr>
                  <w:divsChild>
                    <w:div w:id="272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16850">
      <w:bodyDiv w:val="1"/>
      <w:marLeft w:val="0"/>
      <w:marRight w:val="0"/>
      <w:marTop w:val="0"/>
      <w:marBottom w:val="0"/>
      <w:divBdr>
        <w:top w:val="none" w:sz="0" w:space="0" w:color="auto"/>
        <w:left w:val="none" w:sz="0" w:space="0" w:color="auto"/>
        <w:bottom w:val="none" w:sz="0" w:space="0" w:color="auto"/>
        <w:right w:val="none" w:sz="0" w:space="0" w:color="auto"/>
      </w:divBdr>
    </w:div>
    <w:div w:id="1240407841">
      <w:bodyDiv w:val="1"/>
      <w:marLeft w:val="0"/>
      <w:marRight w:val="0"/>
      <w:marTop w:val="0"/>
      <w:marBottom w:val="0"/>
      <w:divBdr>
        <w:top w:val="none" w:sz="0" w:space="0" w:color="auto"/>
        <w:left w:val="none" w:sz="0" w:space="0" w:color="auto"/>
        <w:bottom w:val="none" w:sz="0" w:space="0" w:color="auto"/>
        <w:right w:val="none" w:sz="0" w:space="0" w:color="auto"/>
      </w:divBdr>
      <w:divsChild>
        <w:div w:id="312564284">
          <w:marLeft w:val="0"/>
          <w:marRight w:val="0"/>
          <w:marTop w:val="0"/>
          <w:marBottom w:val="0"/>
          <w:divBdr>
            <w:top w:val="none" w:sz="0" w:space="0" w:color="auto"/>
            <w:left w:val="none" w:sz="0" w:space="0" w:color="auto"/>
            <w:bottom w:val="none" w:sz="0" w:space="0" w:color="auto"/>
            <w:right w:val="none" w:sz="0" w:space="0" w:color="auto"/>
          </w:divBdr>
          <w:divsChild>
            <w:div w:id="2101680924">
              <w:marLeft w:val="0"/>
              <w:marRight w:val="0"/>
              <w:marTop w:val="0"/>
              <w:marBottom w:val="0"/>
              <w:divBdr>
                <w:top w:val="none" w:sz="0" w:space="0" w:color="auto"/>
                <w:left w:val="none" w:sz="0" w:space="0" w:color="auto"/>
                <w:bottom w:val="none" w:sz="0" w:space="0" w:color="auto"/>
                <w:right w:val="none" w:sz="0" w:space="0" w:color="auto"/>
              </w:divBdr>
              <w:divsChild>
                <w:div w:id="763066903">
                  <w:marLeft w:val="0"/>
                  <w:marRight w:val="0"/>
                  <w:marTop w:val="0"/>
                  <w:marBottom w:val="0"/>
                  <w:divBdr>
                    <w:top w:val="none" w:sz="0" w:space="0" w:color="auto"/>
                    <w:left w:val="none" w:sz="0" w:space="0" w:color="auto"/>
                    <w:bottom w:val="none" w:sz="0" w:space="0" w:color="auto"/>
                    <w:right w:val="none" w:sz="0" w:space="0" w:color="auto"/>
                  </w:divBdr>
                  <w:divsChild>
                    <w:div w:id="1713191154">
                      <w:marLeft w:val="0"/>
                      <w:marRight w:val="0"/>
                      <w:marTop w:val="0"/>
                      <w:marBottom w:val="0"/>
                      <w:divBdr>
                        <w:top w:val="none" w:sz="0" w:space="0" w:color="auto"/>
                        <w:left w:val="none" w:sz="0" w:space="0" w:color="auto"/>
                        <w:bottom w:val="none" w:sz="0" w:space="0" w:color="auto"/>
                        <w:right w:val="none" w:sz="0" w:space="0" w:color="auto"/>
                      </w:divBdr>
                      <w:divsChild>
                        <w:div w:id="489559528">
                          <w:marLeft w:val="0"/>
                          <w:marRight w:val="0"/>
                          <w:marTop w:val="0"/>
                          <w:marBottom w:val="0"/>
                          <w:divBdr>
                            <w:top w:val="none" w:sz="0" w:space="0" w:color="auto"/>
                            <w:left w:val="none" w:sz="0" w:space="0" w:color="auto"/>
                            <w:bottom w:val="none" w:sz="0" w:space="0" w:color="auto"/>
                            <w:right w:val="none" w:sz="0" w:space="0" w:color="auto"/>
                          </w:divBdr>
                          <w:divsChild>
                            <w:div w:id="4522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71832">
      <w:bodyDiv w:val="1"/>
      <w:marLeft w:val="0"/>
      <w:marRight w:val="0"/>
      <w:marTop w:val="0"/>
      <w:marBottom w:val="0"/>
      <w:divBdr>
        <w:top w:val="none" w:sz="0" w:space="0" w:color="auto"/>
        <w:left w:val="none" w:sz="0" w:space="0" w:color="auto"/>
        <w:bottom w:val="none" w:sz="0" w:space="0" w:color="auto"/>
        <w:right w:val="none" w:sz="0" w:space="0" w:color="auto"/>
      </w:divBdr>
    </w:div>
    <w:div w:id="1340162151">
      <w:bodyDiv w:val="1"/>
      <w:marLeft w:val="0"/>
      <w:marRight w:val="0"/>
      <w:marTop w:val="0"/>
      <w:marBottom w:val="0"/>
      <w:divBdr>
        <w:top w:val="none" w:sz="0" w:space="0" w:color="auto"/>
        <w:left w:val="none" w:sz="0" w:space="0" w:color="auto"/>
        <w:bottom w:val="none" w:sz="0" w:space="0" w:color="auto"/>
        <w:right w:val="none" w:sz="0" w:space="0" w:color="auto"/>
      </w:divBdr>
    </w:div>
    <w:div w:id="1481076278">
      <w:bodyDiv w:val="1"/>
      <w:marLeft w:val="0"/>
      <w:marRight w:val="0"/>
      <w:marTop w:val="0"/>
      <w:marBottom w:val="0"/>
      <w:divBdr>
        <w:top w:val="none" w:sz="0" w:space="0" w:color="auto"/>
        <w:left w:val="none" w:sz="0" w:space="0" w:color="auto"/>
        <w:bottom w:val="none" w:sz="0" w:space="0" w:color="auto"/>
        <w:right w:val="none" w:sz="0" w:space="0" w:color="auto"/>
      </w:divBdr>
      <w:divsChild>
        <w:div w:id="1483615281">
          <w:marLeft w:val="0"/>
          <w:marRight w:val="0"/>
          <w:marTop w:val="0"/>
          <w:marBottom w:val="0"/>
          <w:divBdr>
            <w:top w:val="none" w:sz="0" w:space="0" w:color="auto"/>
            <w:left w:val="none" w:sz="0" w:space="0" w:color="auto"/>
            <w:bottom w:val="none" w:sz="0" w:space="0" w:color="auto"/>
            <w:right w:val="none" w:sz="0" w:space="0" w:color="auto"/>
          </w:divBdr>
          <w:divsChild>
            <w:div w:id="230845977">
              <w:marLeft w:val="0"/>
              <w:marRight w:val="0"/>
              <w:marTop w:val="0"/>
              <w:marBottom w:val="0"/>
              <w:divBdr>
                <w:top w:val="none" w:sz="0" w:space="0" w:color="auto"/>
                <w:left w:val="none" w:sz="0" w:space="0" w:color="auto"/>
                <w:bottom w:val="none" w:sz="0" w:space="0" w:color="auto"/>
                <w:right w:val="none" w:sz="0" w:space="0" w:color="auto"/>
              </w:divBdr>
              <w:divsChild>
                <w:div w:id="1700861000">
                  <w:marLeft w:val="0"/>
                  <w:marRight w:val="0"/>
                  <w:marTop w:val="0"/>
                  <w:marBottom w:val="0"/>
                  <w:divBdr>
                    <w:top w:val="none" w:sz="0" w:space="0" w:color="auto"/>
                    <w:left w:val="none" w:sz="0" w:space="0" w:color="auto"/>
                    <w:bottom w:val="none" w:sz="0" w:space="0" w:color="auto"/>
                    <w:right w:val="none" w:sz="0" w:space="0" w:color="auto"/>
                  </w:divBdr>
                  <w:divsChild>
                    <w:div w:id="1027946336">
                      <w:marLeft w:val="0"/>
                      <w:marRight w:val="0"/>
                      <w:marTop w:val="0"/>
                      <w:marBottom w:val="0"/>
                      <w:divBdr>
                        <w:top w:val="none" w:sz="0" w:space="0" w:color="auto"/>
                        <w:left w:val="none" w:sz="0" w:space="0" w:color="auto"/>
                        <w:bottom w:val="none" w:sz="0" w:space="0" w:color="auto"/>
                        <w:right w:val="none" w:sz="0" w:space="0" w:color="auto"/>
                      </w:divBdr>
                      <w:divsChild>
                        <w:div w:id="1926722836">
                          <w:marLeft w:val="0"/>
                          <w:marRight w:val="0"/>
                          <w:marTop w:val="0"/>
                          <w:marBottom w:val="0"/>
                          <w:divBdr>
                            <w:top w:val="none" w:sz="0" w:space="0" w:color="auto"/>
                            <w:left w:val="none" w:sz="0" w:space="0" w:color="auto"/>
                            <w:bottom w:val="none" w:sz="0" w:space="0" w:color="auto"/>
                            <w:right w:val="none" w:sz="0" w:space="0" w:color="auto"/>
                          </w:divBdr>
                          <w:divsChild>
                            <w:div w:id="493184200">
                              <w:marLeft w:val="-225"/>
                              <w:marRight w:val="-225"/>
                              <w:marTop w:val="0"/>
                              <w:marBottom w:val="0"/>
                              <w:divBdr>
                                <w:top w:val="none" w:sz="0" w:space="0" w:color="auto"/>
                                <w:left w:val="none" w:sz="0" w:space="0" w:color="auto"/>
                                <w:bottom w:val="none" w:sz="0" w:space="0" w:color="auto"/>
                                <w:right w:val="none" w:sz="0" w:space="0" w:color="auto"/>
                              </w:divBdr>
                              <w:divsChild>
                                <w:div w:id="924073662">
                                  <w:marLeft w:val="0"/>
                                  <w:marRight w:val="0"/>
                                  <w:marTop w:val="0"/>
                                  <w:marBottom w:val="0"/>
                                  <w:divBdr>
                                    <w:top w:val="none" w:sz="0" w:space="0" w:color="auto"/>
                                    <w:left w:val="none" w:sz="0" w:space="0" w:color="auto"/>
                                    <w:bottom w:val="none" w:sz="0" w:space="0" w:color="auto"/>
                                    <w:right w:val="none" w:sz="0" w:space="0" w:color="auto"/>
                                  </w:divBdr>
                                  <w:divsChild>
                                    <w:div w:id="78798589">
                                      <w:marLeft w:val="0"/>
                                      <w:marRight w:val="0"/>
                                      <w:marTop w:val="0"/>
                                      <w:marBottom w:val="0"/>
                                      <w:divBdr>
                                        <w:top w:val="none" w:sz="0" w:space="0" w:color="auto"/>
                                        <w:left w:val="none" w:sz="0" w:space="0" w:color="auto"/>
                                        <w:bottom w:val="none" w:sz="0" w:space="0" w:color="auto"/>
                                        <w:right w:val="none" w:sz="0" w:space="0" w:color="auto"/>
                                      </w:divBdr>
                                      <w:divsChild>
                                        <w:div w:id="1607231612">
                                          <w:marLeft w:val="0"/>
                                          <w:marRight w:val="0"/>
                                          <w:marTop w:val="0"/>
                                          <w:marBottom w:val="0"/>
                                          <w:divBdr>
                                            <w:top w:val="none" w:sz="0" w:space="0" w:color="auto"/>
                                            <w:left w:val="none" w:sz="0" w:space="0" w:color="auto"/>
                                            <w:bottom w:val="none" w:sz="0" w:space="0" w:color="auto"/>
                                            <w:right w:val="none" w:sz="0" w:space="0" w:color="auto"/>
                                          </w:divBdr>
                                          <w:divsChild>
                                            <w:div w:id="1734038266">
                                              <w:marLeft w:val="0"/>
                                              <w:marRight w:val="0"/>
                                              <w:marTop w:val="0"/>
                                              <w:marBottom w:val="0"/>
                                              <w:divBdr>
                                                <w:top w:val="none" w:sz="0" w:space="0" w:color="auto"/>
                                                <w:left w:val="none" w:sz="0" w:space="0" w:color="auto"/>
                                                <w:bottom w:val="none" w:sz="0" w:space="0" w:color="auto"/>
                                                <w:right w:val="none" w:sz="0" w:space="0" w:color="auto"/>
                                              </w:divBdr>
                                              <w:divsChild>
                                                <w:div w:id="124858527">
                                                  <w:marLeft w:val="0"/>
                                                  <w:marRight w:val="0"/>
                                                  <w:marTop w:val="0"/>
                                                  <w:marBottom w:val="0"/>
                                                  <w:divBdr>
                                                    <w:top w:val="none" w:sz="0" w:space="0" w:color="auto"/>
                                                    <w:left w:val="none" w:sz="0" w:space="0" w:color="auto"/>
                                                    <w:bottom w:val="none" w:sz="0" w:space="0" w:color="auto"/>
                                                    <w:right w:val="none" w:sz="0" w:space="0" w:color="auto"/>
                                                  </w:divBdr>
                                                  <w:divsChild>
                                                    <w:div w:id="637959507">
                                                      <w:marLeft w:val="0"/>
                                                      <w:marRight w:val="0"/>
                                                      <w:marTop w:val="0"/>
                                                      <w:marBottom w:val="0"/>
                                                      <w:divBdr>
                                                        <w:top w:val="none" w:sz="0" w:space="0" w:color="auto"/>
                                                        <w:left w:val="none" w:sz="0" w:space="0" w:color="auto"/>
                                                        <w:bottom w:val="none" w:sz="0" w:space="0" w:color="auto"/>
                                                        <w:right w:val="none" w:sz="0" w:space="0" w:color="auto"/>
                                                      </w:divBdr>
                                                      <w:divsChild>
                                                        <w:div w:id="6556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file:///E:\Konferencje\Konferencja%20CEST_&#321;&#243;d&#378;_2015\Dane\TYLKO%20UE\Dane%20CEST%202015%20TYLKO%20U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Konferencje\Konferencja%20CEST_&#321;&#243;d&#378;_2015\Dane\TYLKO%20UE\Dane%20CEST%202015%20TYLKO%20U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Konferencje\Konferencja%20CEST_&#321;&#243;d&#378;_2015\Dane\TYLKO%20UE\Dane%20CEST%202015%20TYLKO%20U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Konferencje\Konferencja%20CEST_&#321;&#243;d&#378;_2015\Dane\TYLKO%20UE\Dane%20CEST%202015%20TYLKO%20U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a:solidFill>
                <a:schemeClr val="tx1"/>
              </a:solidFill>
            </a:ln>
            <a:effectLst/>
          </c:spPr>
          <c:invertIfNegative val="0"/>
          <c:cat>
            <c:strRef>
              <c:f>'Labour comp in GDP'!$AS$4:$AS$30</c:f>
              <c:strCache>
                <c:ptCount val="27"/>
                <c:pt idx="0">
                  <c:v>Hungary</c:v>
                </c:pt>
                <c:pt idx="1">
                  <c:v>Poland</c:v>
                </c:pt>
                <c:pt idx="2">
                  <c:v>Slovenia</c:v>
                </c:pt>
                <c:pt idx="3">
                  <c:v>Spain</c:v>
                </c:pt>
                <c:pt idx="4">
                  <c:v>Cyprus</c:v>
                </c:pt>
                <c:pt idx="5">
                  <c:v>Austria</c:v>
                </c:pt>
                <c:pt idx="6">
                  <c:v>Portugal</c:v>
                </c:pt>
                <c:pt idx="7">
                  <c:v>Sweden</c:v>
                </c:pt>
                <c:pt idx="8">
                  <c:v>Luxembourg</c:v>
                </c:pt>
                <c:pt idx="9">
                  <c:v>Germany</c:v>
                </c:pt>
                <c:pt idx="10">
                  <c:v>Italy</c:v>
                </c:pt>
                <c:pt idx="11">
                  <c:v>Ireland</c:v>
                </c:pt>
                <c:pt idx="12">
                  <c:v>Netherlands</c:v>
                </c:pt>
                <c:pt idx="13">
                  <c:v>Estonia</c:v>
                </c:pt>
                <c:pt idx="14">
                  <c:v>France</c:v>
                </c:pt>
                <c:pt idx="15">
                  <c:v>Belgium</c:v>
                </c:pt>
                <c:pt idx="16">
                  <c:v>Finland</c:v>
                </c:pt>
                <c:pt idx="17">
                  <c:v>Slovak Republic</c:v>
                </c:pt>
                <c:pt idx="18">
                  <c:v>United Kingdom</c:v>
                </c:pt>
                <c:pt idx="19">
                  <c:v>Greece</c:v>
                </c:pt>
                <c:pt idx="20">
                  <c:v>Lithuania</c:v>
                </c:pt>
                <c:pt idx="21">
                  <c:v>Denmark</c:v>
                </c:pt>
                <c:pt idx="22">
                  <c:v>Latvia</c:v>
                </c:pt>
                <c:pt idx="23">
                  <c:v>Malta</c:v>
                </c:pt>
                <c:pt idx="24">
                  <c:v>Bulgaria</c:v>
                </c:pt>
                <c:pt idx="25">
                  <c:v>Romania</c:v>
                </c:pt>
                <c:pt idx="26">
                  <c:v>Czech Republic</c:v>
                </c:pt>
              </c:strCache>
            </c:strRef>
          </c:cat>
          <c:val>
            <c:numRef>
              <c:f>'Labour comp in GDP'!$AT$4:$AT$30</c:f>
              <c:numCache>
                <c:formatCode>0.0</c:formatCode>
                <c:ptCount val="27"/>
                <c:pt idx="0">
                  <c:v>-13.533573079999996</c:v>
                </c:pt>
                <c:pt idx="1">
                  <c:v>-12.859200729999984</c:v>
                </c:pt>
                <c:pt idx="2">
                  <c:v>-12.149702600000012</c:v>
                </c:pt>
                <c:pt idx="3">
                  <c:v>-10.624096850000001</c:v>
                </c:pt>
                <c:pt idx="4">
                  <c:v>-3.9437308500000086</c:v>
                </c:pt>
                <c:pt idx="5">
                  <c:v>-2.9404707699999904</c:v>
                </c:pt>
                <c:pt idx="6">
                  <c:v>-2.8366952999999882</c:v>
                </c:pt>
                <c:pt idx="7">
                  <c:v>-1.7986076100000048</c:v>
                </c:pt>
                <c:pt idx="8">
                  <c:v>-1.0055630799999946</c:v>
                </c:pt>
                <c:pt idx="9">
                  <c:v>-0.49733396999999968</c:v>
                </c:pt>
                <c:pt idx="10">
                  <c:v>-8.608520999999314E-2</c:v>
                </c:pt>
                <c:pt idx="11">
                  <c:v>0.12335179000000807</c:v>
                </c:pt>
                <c:pt idx="12">
                  <c:v>0.2584115299999894</c:v>
                </c:pt>
                <c:pt idx="13">
                  <c:v>0.47173053000000209</c:v>
                </c:pt>
                <c:pt idx="14">
                  <c:v>1.2647560099999922</c:v>
                </c:pt>
                <c:pt idx="15">
                  <c:v>1.3241794300000009</c:v>
                </c:pt>
                <c:pt idx="16">
                  <c:v>1.5409077299999865</c:v>
                </c:pt>
                <c:pt idx="17">
                  <c:v>2.0121922299999966</c:v>
                </c:pt>
                <c:pt idx="18">
                  <c:v>2.6189720499999964</c:v>
                </c:pt>
                <c:pt idx="19">
                  <c:v>2.6812331099999867</c:v>
                </c:pt>
                <c:pt idx="20">
                  <c:v>2.7862499199999959</c:v>
                </c:pt>
                <c:pt idx="21">
                  <c:v>2.8853542299999901</c:v>
                </c:pt>
                <c:pt idx="22">
                  <c:v>5.38716668</c:v>
                </c:pt>
                <c:pt idx="23">
                  <c:v>6.4868020800000039</c:v>
                </c:pt>
                <c:pt idx="24">
                  <c:v>9.0917587200000085</c:v>
                </c:pt>
                <c:pt idx="25">
                  <c:v>10.511940080000002</c:v>
                </c:pt>
                <c:pt idx="26">
                  <c:v>16.210398070000004</c:v>
                </c:pt>
              </c:numCache>
            </c:numRef>
          </c:val>
        </c:ser>
        <c:dLbls>
          <c:showLegendKey val="0"/>
          <c:showVal val="0"/>
          <c:showCatName val="0"/>
          <c:showSerName val="0"/>
          <c:showPercent val="0"/>
          <c:showBubbleSize val="0"/>
        </c:dLbls>
        <c:gapWidth val="219"/>
        <c:overlap val="-27"/>
        <c:axId val="241700248"/>
        <c:axId val="241700640"/>
      </c:barChart>
      <c:catAx>
        <c:axId val="2417002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241700640"/>
        <c:crosses val="autoZero"/>
        <c:auto val="1"/>
        <c:lblAlgn val="ctr"/>
        <c:lblOffset val="1000"/>
        <c:noMultiLvlLbl val="0"/>
      </c:catAx>
      <c:valAx>
        <c:axId val="241700640"/>
        <c:scaling>
          <c:orientation val="minMax"/>
          <c:max val="18"/>
          <c:min val="-20"/>
        </c:scaling>
        <c:delete val="0"/>
        <c:axPos val="l"/>
        <c:numFmt formatCode="0.0" sourceLinked="1"/>
        <c:majorTickMark val="out"/>
        <c:minorTickMark val="none"/>
        <c:tickLblPos val="low"/>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241700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tx1"/>
              </a:solidFill>
              <a:round/>
            </a:ln>
            <a:effectLst/>
          </c:spPr>
          <c:marker>
            <c:symbol val="none"/>
          </c:marker>
          <c:cat>
            <c:numRef>
              <c:f>'LP per person'!$B$3:$V$3</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'LP per person'!$B$31:$V$31</c:f>
              <c:numCache>
                <c:formatCode>#,##0.0</c:formatCode>
                <c:ptCount val="21"/>
                <c:pt idx="0">
                  <c:v>57307.67652801126</c:v>
                </c:pt>
                <c:pt idx="1">
                  <c:v>59100.097913444246</c:v>
                </c:pt>
                <c:pt idx="2">
                  <c:v>60193.507948399107</c:v>
                </c:pt>
                <c:pt idx="3">
                  <c:v>61824.837483526499</c:v>
                </c:pt>
                <c:pt idx="4">
                  <c:v>63154.998590745279</c:v>
                </c:pt>
                <c:pt idx="5">
                  <c:v>64526.308151383091</c:v>
                </c:pt>
                <c:pt idx="6">
                  <c:v>66649.4291692759</c:v>
                </c:pt>
                <c:pt idx="7">
                  <c:v>67413.697375696182</c:v>
                </c:pt>
                <c:pt idx="8">
                  <c:v>68603.45218463667</c:v>
                </c:pt>
                <c:pt idx="9">
                  <c:v>69845.987661618128</c:v>
                </c:pt>
                <c:pt idx="10">
                  <c:v>71870.947794291773</c:v>
                </c:pt>
                <c:pt idx="11">
                  <c:v>73264.70724660311</c:v>
                </c:pt>
                <c:pt idx="12">
                  <c:v>75127.151282956896</c:v>
                </c:pt>
                <c:pt idx="13">
                  <c:v>76774.005645093886</c:v>
                </c:pt>
                <c:pt idx="14">
                  <c:v>76459.847019573266</c:v>
                </c:pt>
                <c:pt idx="15">
                  <c:v>74190.916321737735</c:v>
                </c:pt>
                <c:pt idx="16">
                  <c:v>76375.078206495775</c:v>
                </c:pt>
                <c:pt idx="17">
                  <c:v>77420.034553118981</c:v>
                </c:pt>
                <c:pt idx="18">
                  <c:v>77441.026977633621</c:v>
                </c:pt>
                <c:pt idx="19">
                  <c:v>77684.36441837225</c:v>
                </c:pt>
                <c:pt idx="20">
                  <c:v>78194.292579103319</c:v>
                </c:pt>
              </c:numCache>
            </c:numRef>
          </c:val>
          <c:smooth val="0"/>
        </c:ser>
        <c:dLbls>
          <c:showLegendKey val="0"/>
          <c:showVal val="0"/>
          <c:showCatName val="0"/>
          <c:showSerName val="0"/>
          <c:showPercent val="0"/>
          <c:showBubbleSize val="0"/>
        </c:dLbls>
        <c:smooth val="0"/>
        <c:axId val="55068840"/>
        <c:axId val="55068056"/>
      </c:lineChart>
      <c:catAx>
        <c:axId val="5506884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55068056"/>
        <c:crosses val="autoZero"/>
        <c:auto val="1"/>
        <c:lblAlgn val="ctr"/>
        <c:lblOffset val="100"/>
        <c:noMultiLvlLbl val="0"/>
      </c:catAx>
      <c:valAx>
        <c:axId val="55068056"/>
        <c:scaling>
          <c:orientation val="minMax"/>
          <c:min val="40000"/>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5506884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tx1"/>
              </a:solidFill>
              <a:round/>
            </a:ln>
            <a:effectLst/>
          </c:spPr>
          <c:marker>
            <c:symbol val="none"/>
          </c:marker>
          <c:cat>
            <c:numRef>
              <c:f>'Annual h per worker'!$B$3:$V$3</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'Annual h per worker'!$B$31:$V$31</c:f>
              <c:numCache>
                <c:formatCode>#,##0.0</c:formatCode>
                <c:ptCount val="21"/>
                <c:pt idx="0">
                  <c:v>1802.6925583425982</c:v>
                </c:pt>
                <c:pt idx="1">
                  <c:v>1802.2543951128746</c:v>
                </c:pt>
                <c:pt idx="2">
                  <c:v>1800.5891621371497</c:v>
                </c:pt>
                <c:pt idx="3">
                  <c:v>1800.4767720993348</c:v>
                </c:pt>
                <c:pt idx="4">
                  <c:v>1800.8502690447704</c:v>
                </c:pt>
                <c:pt idx="5">
                  <c:v>1797.3568240103327</c:v>
                </c:pt>
                <c:pt idx="6">
                  <c:v>1804.1285280109269</c:v>
                </c:pt>
                <c:pt idx="7">
                  <c:v>1790.395603828267</c:v>
                </c:pt>
                <c:pt idx="8">
                  <c:v>1782.1956569111176</c:v>
                </c:pt>
                <c:pt idx="9">
                  <c:v>1771.4412393691655</c:v>
                </c:pt>
                <c:pt idx="10">
                  <c:v>1773.5410114988156</c:v>
                </c:pt>
                <c:pt idx="11">
                  <c:v>1775.3888677711891</c:v>
                </c:pt>
                <c:pt idx="12">
                  <c:v>1762.9941473863207</c:v>
                </c:pt>
                <c:pt idx="13">
                  <c:v>1761.9021022463799</c:v>
                </c:pt>
                <c:pt idx="14">
                  <c:v>1765.5284713451192</c:v>
                </c:pt>
                <c:pt idx="15">
                  <c:v>1737.3861374211276</c:v>
                </c:pt>
                <c:pt idx="16">
                  <c:v>1736.2752303218822</c:v>
                </c:pt>
                <c:pt idx="17">
                  <c:v>1739.025683314567</c:v>
                </c:pt>
                <c:pt idx="18">
                  <c:v>1721.4925451244146</c:v>
                </c:pt>
                <c:pt idx="19">
                  <c:v>1714.9268219405651</c:v>
                </c:pt>
                <c:pt idx="20">
                  <c:v>1714.2830657687134</c:v>
                </c:pt>
              </c:numCache>
            </c:numRef>
          </c:val>
          <c:smooth val="0"/>
        </c:ser>
        <c:dLbls>
          <c:showLegendKey val="0"/>
          <c:showVal val="0"/>
          <c:showCatName val="0"/>
          <c:showSerName val="0"/>
          <c:showPercent val="0"/>
          <c:showBubbleSize val="0"/>
        </c:dLbls>
        <c:smooth val="0"/>
        <c:axId val="151900720"/>
        <c:axId val="302141408"/>
      </c:lineChart>
      <c:catAx>
        <c:axId val="15190072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302141408"/>
        <c:crosses val="autoZero"/>
        <c:auto val="1"/>
        <c:lblAlgn val="ctr"/>
        <c:lblOffset val="100"/>
        <c:noMultiLvlLbl val="0"/>
      </c:catAx>
      <c:valAx>
        <c:axId val="302141408"/>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190072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solidFill>
            <a:ln>
              <a:solidFill>
                <a:schemeClr val="tx1"/>
              </a:solidFill>
            </a:ln>
            <a:effectLst/>
          </c:spPr>
          <c:invertIfNegative val="0"/>
          <c:cat>
            <c:strRef>
              <c:f>'Annual h per worker'!$AR$4:$AR$30</c:f>
              <c:strCache>
                <c:ptCount val="27"/>
                <c:pt idx="0">
                  <c:v>Luxembourg</c:v>
                </c:pt>
                <c:pt idx="1">
                  <c:v>Ireland</c:v>
                </c:pt>
                <c:pt idx="2">
                  <c:v>Malta</c:v>
                </c:pt>
                <c:pt idx="3">
                  <c:v>Austria</c:v>
                </c:pt>
                <c:pt idx="4">
                  <c:v>Germany</c:v>
                </c:pt>
                <c:pt idx="5">
                  <c:v>Hungary</c:v>
                </c:pt>
                <c:pt idx="6">
                  <c:v>France</c:v>
                </c:pt>
                <c:pt idx="7">
                  <c:v>Finland</c:v>
                </c:pt>
                <c:pt idx="8">
                  <c:v>Latvia</c:v>
                </c:pt>
                <c:pt idx="9">
                  <c:v>Italy</c:v>
                </c:pt>
                <c:pt idx="10">
                  <c:v>Slovenia</c:v>
                </c:pt>
                <c:pt idx="11">
                  <c:v>Romania</c:v>
                </c:pt>
                <c:pt idx="12">
                  <c:v>Bulgaria</c:v>
                </c:pt>
                <c:pt idx="13">
                  <c:v>Cyprus</c:v>
                </c:pt>
                <c:pt idx="14">
                  <c:v>Greece</c:v>
                </c:pt>
                <c:pt idx="15">
                  <c:v>Czech Republic</c:v>
                </c:pt>
                <c:pt idx="16">
                  <c:v>Slovak Republic</c:v>
                </c:pt>
                <c:pt idx="17">
                  <c:v>Poland</c:v>
                </c:pt>
                <c:pt idx="18">
                  <c:v>Spain</c:v>
                </c:pt>
                <c:pt idx="19">
                  <c:v>Netherlands</c:v>
                </c:pt>
                <c:pt idx="20">
                  <c:v>United Kingdom</c:v>
                </c:pt>
                <c:pt idx="21">
                  <c:v>Sweden</c:v>
                </c:pt>
                <c:pt idx="22">
                  <c:v>Estonia</c:v>
                </c:pt>
                <c:pt idx="23">
                  <c:v>Denmark</c:v>
                </c:pt>
                <c:pt idx="24">
                  <c:v>Portugal</c:v>
                </c:pt>
                <c:pt idx="25">
                  <c:v>Belgium</c:v>
                </c:pt>
                <c:pt idx="26">
                  <c:v>Lithuania</c:v>
                </c:pt>
              </c:strCache>
            </c:strRef>
          </c:cat>
          <c:val>
            <c:numRef>
              <c:f>'Annual h per worker'!$AS$4:$AS$30</c:f>
              <c:numCache>
                <c:formatCode>0</c:formatCode>
                <c:ptCount val="27"/>
                <c:pt idx="0">
                  <c:v>-266.81179563452906</c:v>
                </c:pt>
                <c:pt idx="1">
                  <c:v>-258.5546007544765</c:v>
                </c:pt>
                <c:pt idx="2">
                  <c:v>-254.12786250096519</c:v>
                </c:pt>
                <c:pt idx="3">
                  <c:v>-180.92896283271284</c:v>
                </c:pt>
                <c:pt idx="4">
                  <c:v>-166.24811606202707</c:v>
                </c:pt>
                <c:pt idx="5">
                  <c:v>-143.09792343741447</c:v>
                </c:pt>
                <c:pt idx="6">
                  <c:v>-142.05284098442758</c:v>
                </c:pt>
                <c:pt idx="7">
                  <c:v>-130.13062174191487</c:v>
                </c:pt>
                <c:pt idx="8">
                  <c:v>-126.86625580031296</c:v>
                </c:pt>
                <c:pt idx="9">
                  <c:v>-119.83996909187499</c:v>
                </c:pt>
                <c:pt idx="10">
                  <c:v>-94.514399802151502</c:v>
                </c:pt>
                <c:pt idx="11">
                  <c:v>-80.803043219223127</c:v>
                </c:pt>
                <c:pt idx="12">
                  <c:v>-76.997651581836408</c:v>
                </c:pt>
                <c:pt idx="13">
                  <c:v>-72.310561769515516</c:v>
                </c:pt>
                <c:pt idx="14">
                  <c:v>-68.530444649307583</c:v>
                </c:pt>
                <c:pt idx="15">
                  <c:v>-65.111664190063493</c:v>
                </c:pt>
                <c:pt idx="16">
                  <c:v>-64.217666719093813</c:v>
                </c:pt>
                <c:pt idx="17">
                  <c:v>-60.181564561698224</c:v>
                </c:pt>
                <c:pt idx="18">
                  <c:v>-49.732521826949551</c:v>
                </c:pt>
                <c:pt idx="19">
                  <c:v>-44.013874390310548</c:v>
                </c:pt>
                <c:pt idx="20">
                  <c:v>-43.037025929869515</c:v>
                </c:pt>
                <c:pt idx="21">
                  <c:v>-26.700190845848738</c:v>
                </c:pt>
                <c:pt idx="22">
                  <c:v>-4.4803483447078634</c:v>
                </c:pt>
                <c:pt idx="23">
                  <c:v>12.254352676246071</c:v>
                </c:pt>
                <c:pt idx="24">
                  <c:v>22.703011036984208</c:v>
                </c:pt>
                <c:pt idx="25">
                  <c:v>23.598287605199175</c:v>
                </c:pt>
                <c:pt idx="26">
                  <c:v>93.677955857906909</c:v>
                </c:pt>
              </c:numCache>
            </c:numRef>
          </c:val>
        </c:ser>
        <c:dLbls>
          <c:showLegendKey val="0"/>
          <c:showVal val="0"/>
          <c:showCatName val="0"/>
          <c:showSerName val="0"/>
          <c:showPercent val="0"/>
          <c:showBubbleSize val="0"/>
        </c:dLbls>
        <c:gapWidth val="219"/>
        <c:overlap val="-27"/>
        <c:axId val="234911048"/>
        <c:axId val="234911440"/>
      </c:barChart>
      <c:catAx>
        <c:axId val="2349110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234911440"/>
        <c:crosses val="autoZero"/>
        <c:auto val="1"/>
        <c:lblAlgn val="ctr"/>
        <c:lblOffset val="1000"/>
        <c:noMultiLvlLbl val="0"/>
      </c:catAx>
      <c:valAx>
        <c:axId val="234911440"/>
        <c:scaling>
          <c:orientation val="minMax"/>
          <c:max val="100"/>
        </c:scaling>
        <c:delete val="0"/>
        <c:axPos val="l"/>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234911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D0D89B-9FC5-441D-AD69-E16FE23D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10</Pages>
  <Words>2656</Words>
  <Characters>15939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Batóg</dc:creator>
  <cp:keywords/>
  <dc:description/>
  <cp:lastModifiedBy>Jacek Batóg</cp:lastModifiedBy>
  <cp:revision>177</cp:revision>
  <dcterms:created xsi:type="dcterms:W3CDTF">2015-10-13T20:40:00Z</dcterms:created>
  <dcterms:modified xsi:type="dcterms:W3CDTF">2016-03-21T00:19:00Z</dcterms:modified>
</cp:coreProperties>
</file>