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CDAE" w14:textId="77777777" w:rsidR="00195485" w:rsidRPr="00A87512" w:rsidRDefault="00195485" w:rsidP="00747B41">
      <w:pPr>
        <w:contextualSpacing/>
        <w:rPr>
          <w:rFonts w:ascii="Times New Roman" w:hAnsi="Times New Roman" w:cs="Times New Roman"/>
          <w:sz w:val="28"/>
          <w:szCs w:val="28"/>
        </w:rPr>
      </w:pPr>
      <w:bookmarkStart w:id="0" w:name="_GoBack"/>
      <w:bookmarkEnd w:id="0"/>
      <w:r w:rsidRPr="00A87512">
        <w:rPr>
          <w:rFonts w:ascii="Times New Roman" w:hAnsi="Times New Roman" w:cs="Times New Roman"/>
          <w:sz w:val="28"/>
          <w:szCs w:val="28"/>
        </w:rPr>
        <w:t xml:space="preserve">Wiesław Dębski, Ewa </w:t>
      </w:r>
      <w:proofErr w:type="spellStart"/>
      <w:r w:rsidRPr="00A87512">
        <w:rPr>
          <w:rFonts w:ascii="Times New Roman" w:hAnsi="Times New Roman" w:cs="Times New Roman"/>
          <w:sz w:val="28"/>
          <w:szCs w:val="28"/>
        </w:rPr>
        <w:t>Feder-Sempach</w:t>
      </w:r>
      <w:proofErr w:type="spellEnd"/>
      <w:r w:rsidRPr="00A87512">
        <w:rPr>
          <w:rFonts w:ascii="Times New Roman" w:hAnsi="Times New Roman" w:cs="Times New Roman"/>
          <w:sz w:val="28"/>
          <w:szCs w:val="28"/>
        </w:rPr>
        <w:t>, Szymon Wójcik</w:t>
      </w:r>
    </w:p>
    <w:p w14:paraId="276F6680" w14:textId="77777777" w:rsidR="00352734" w:rsidRPr="00A87512" w:rsidRDefault="00352734" w:rsidP="00747B41">
      <w:pPr>
        <w:contextualSpacing/>
        <w:rPr>
          <w:rFonts w:ascii="Times New Roman" w:hAnsi="Times New Roman" w:cs="Times New Roman"/>
          <w:sz w:val="28"/>
          <w:szCs w:val="28"/>
        </w:rPr>
      </w:pPr>
    </w:p>
    <w:p w14:paraId="09BDDB87" w14:textId="456F161B" w:rsidR="002127BA" w:rsidRPr="00B30FE4" w:rsidRDefault="002127BA" w:rsidP="00747B41">
      <w:pPr>
        <w:contextualSpacing/>
        <w:jc w:val="center"/>
        <w:rPr>
          <w:rFonts w:ascii="Times New Roman" w:hAnsi="Times New Roman" w:cs="Times New Roman"/>
          <w:sz w:val="28"/>
          <w:szCs w:val="28"/>
          <w:lang w:val="en-US"/>
        </w:rPr>
      </w:pPr>
      <w:r w:rsidRPr="00B30FE4">
        <w:rPr>
          <w:rFonts w:ascii="Times New Roman" w:hAnsi="Times New Roman" w:cs="Times New Roman"/>
          <w:b/>
          <w:sz w:val="28"/>
          <w:szCs w:val="28"/>
          <w:lang w:val="en-US"/>
        </w:rPr>
        <w:t>Statistical properties of rates of return of the companies listed on Warsaw Stock Exchange in the period of 2005-2015</w:t>
      </w:r>
    </w:p>
    <w:p w14:paraId="22CFB131" w14:textId="77777777" w:rsidR="0031586A" w:rsidRPr="00B30FE4" w:rsidRDefault="0031586A" w:rsidP="00747B41">
      <w:pPr>
        <w:contextualSpacing/>
        <w:jc w:val="center"/>
        <w:rPr>
          <w:rFonts w:ascii="Times New Roman" w:hAnsi="Times New Roman" w:cs="Times New Roman"/>
          <w:b/>
          <w:sz w:val="28"/>
          <w:szCs w:val="28"/>
          <w:lang w:val="en-US"/>
        </w:rPr>
      </w:pPr>
    </w:p>
    <w:p w14:paraId="3268225F" w14:textId="4D065360" w:rsidR="0031586A" w:rsidRDefault="0031586A" w:rsidP="00747B41">
      <w:pPr>
        <w:contextualSpacing/>
        <w:jc w:val="center"/>
        <w:rPr>
          <w:rFonts w:ascii="Times New Roman" w:hAnsi="Times New Roman" w:cs="Times New Roman"/>
          <w:b/>
          <w:sz w:val="28"/>
          <w:szCs w:val="28"/>
          <w:lang w:val="en-US"/>
        </w:rPr>
      </w:pPr>
      <w:r w:rsidRPr="00B30FE4">
        <w:rPr>
          <w:rFonts w:ascii="Times New Roman" w:hAnsi="Times New Roman" w:cs="Times New Roman"/>
          <w:b/>
          <w:sz w:val="28"/>
          <w:szCs w:val="28"/>
          <w:lang w:val="en-US"/>
        </w:rPr>
        <w:t>Summary</w:t>
      </w:r>
    </w:p>
    <w:p w14:paraId="64A32FAC" w14:textId="77777777" w:rsidR="00747B41" w:rsidRPr="00B30FE4" w:rsidRDefault="00747B41" w:rsidP="00747B41">
      <w:pPr>
        <w:contextualSpacing/>
        <w:jc w:val="center"/>
        <w:rPr>
          <w:rFonts w:ascii="Times New Roman" w:hAnsi="Times New Roman" w:cs="Times New Roman"/>
          <w:sz w:val="28"/>
          <w:szCs w:val="28"/>
          <w:lang w:val="en-US"/>
        </w:rPr>
      </w:pPr>
    </w:p>
    <w:p w14:paraId="052D2A81" w14:textId="7390325B" w:rsidR="000332A5" w:rsidRDefault="000332A5"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The rates of return of the companies listed are subject to numerous studies, particularly those listed on the stock exchange. Information about rates of return are useful primarily for investors choosing an investment, estimating its risk and profitability of investment made. Among these studies, many of them are devoted to examination of statistical properties of the rates of return.</w:t>
      </w:r>
    </w:p>
    <w:p w14:paraId="04FCC16E" w14:textId="251DED19" w:rsidR="00AA71B8" w:rsidRPr="00B30FE4" w:rsidRDefault="000332A5" w:rsidP="00747B41">
      <w:pPr>
        <w:ind w:firstLine="42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aim of the article is</w:t>
      </w:r>
      <w:r w:rsidR="0031586A" w:rsidRPr="00B30FE4">
        <w:rPr>
          <w:rFonts w:ascii="Times New Roman" w:hAnsi="Times New Roman" w:cs="Times New Roman"/>
          <w:sz w:val="24"/>
          <w:szCs w:val="24"/>
          <w:lang w:val="en-US"/>
        </w:rPr>
        <w:t xml:space="preserve"> to examine the statistical properties of the monthly rates of return of companies listed on the Warsaw Stock Exchange in the period of 2005-2015. Such parameters as mean value, standard deviation, semi-standard deviation, skewness and kurtosis will be studied, and whether the rates of return have a normal distribution. These properties will be investigated for the whole market and broken down into the </w:t>
      </w:r>
      <w:r w:rsidR="00516232">
        <w:rPr>
          <w:rFonts w:ascii="Times New Roman" w:hAnsi="Times New Roman" w:cs="Times New Roman"/>
          <w:sz w:val="24"/>
          <w:szCs w:val="24"/>
          <w:lang w:val="en-US"/>
        </w:rPr>
        <w:t>bull and bear market conditions.</w:t>
      </w:r>
    </w:p>
    <w:p w14:paraId="6F954325" w14:textId="77777777" w:rsidR="00AA71B8" w:rsidRPr="00B30FE4" w:rsidRDefault="00AA71B8" w:rsidP="00747B41">
      <w:pPr>
        <w:contextualSpacing/>
        <w:jc w:val="both"/>
        <w:rPr>
          <w:rFonts w:ascii="Times New Roman" w:hAnsi="Times New Roman" w:cs="Times New Roman"/>
          <w:sz w:val="24"/>
          <w:szCs w:val="24"/>
          <w:lang w:val="en-US"/>
        </w:rPr>
      </w:pPr>
    </w:p>
    <w:p w14:paraId="4C3DC665" w14:textId="77777777" w:rsidR="00AA71B8" w:rsidRDefault="000D5957" w:rsidP="00747B41">
      <w:pPr>
        <w:ind w:left="360" w:hanging="360"/>
        <w:contextualSpacing/>
        <w:jc w:val="both"/>
        <w:rPr>
          <w:rFonts w:ascii="Times New Roman" w:hAnsi="Times New Roman" w:cs="Times New Roman"/>
          <w:b/>
          <w:sz w:val="28"/>
          <w:szCs w:val="28"/>
          <w:lang w:val="en-US"/>
        </w:rPr>
      </w:pPr>
      <w:r w:rsidRPr="00B30FE4">
        <w:rPr>
          <w:rFonts w:ascii="Times New Roman" w:hAnsi="Times New Roman" w:cs="Times New Roman"/>
          <w:b/>
          <w:sz w:val="28"/>
          <w:szCs w:val="28"/>
          <w:lang w:val="en-US"/>
        </w:rPr>
        <w:t>1.  Introduction</w:t>
      </w:r>
    </w:p>
    <w:p w14:paraId="521E2A39" w14:textId="77777777" w:rsidR="00747B41" w:rsidRPr="00B30FE4" w:rsidRDefault="00747B41" w:rsidP="00747B41">
      <w:pPr>
        <w:ind w:left="360" w:hanging="360"/>
        <w:contextualSpacing/>
        <w:jc w:val="both"/>
        <w:rPr>
          <w:rFonts w:ascii="Times New Roman" w:hAnsi="Times New Roman" w:cs="Times New Roman"/>
          <w:sz w:val="24"/>
          <w:szCs w:val="24"/>
          <w:lang w:val="en-US"/>
        </w:rPr>
      </w:pPr>
    </w:p>
    <w:p w14:paraId="4F2E2063" w14:textId="72E8238F" w:rsidR="000F19DF" w:rsidRPr="00B30FE4" w:rsidRDefault="000F19DF"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Main objective of the article, which we treat as a prelude to further study, is to investigate the statistical properties of the month</w:t>
      </w:r>
      <w:r w:rsidR="000E33CE">
        <w:rPr>
          <w:rFonts w:ascii="Times New Roman" w:hAnsi="Times New Roman" w:cs="Times New Roman"/>
          <w:sz w:val="24"/>
          <w:szCs w:val="24"/>
          <w:lang w:val="en-US"/>
        </w:rPr>
        <w:t>ly</w:t>
      </w:r>
      <w:r w:rsidRPr="00B30FE4">
        <w:rPr>
          <w:rFonts w:ascii="Times New Roman" w:hAnsi="Times New Roman" w:cs="Times New Roman"/>
          <w:sz w:val="24"/>
          <w:szCs w:val="24"/>
          <w:lang w:val="en-US"/>
        </w:rPr>
        <w:t xml:space="preserve"> rates of return of possible largest number of companies listed on the Stock E</w:t>
      </w:r>
      <w:r w:rsidR="00B30FE4">
        <w:rPr>
          <w:rFonts w:ascii="Times New Roman" w:hAnsi="Times New Roman" w:cs="Times New Roman"/>
          <w:sz w:val="24"/>
          <w:szCs w:val="24"/>
          <w:lang w:val="en-US"/>
        </w:rPr>
        <w:t>xchange in Warsaw in the years </w:t>
      </w:r>
      <w:r w:rsidRPr="00B30FE4">
        <w:rPr>
          <w:rFonts w:ascii="Times New Roman" w:hAnsi="Times New Roman" w:cs="Times New Roman"/>
          <w:sz w:val="24"/>
          <w:szCs w:val="24"/>
          <w:lang w:val="en-US"/>
        </w:rPr>
        <w:t xml:space="preserve">2005-2015. There are going to be studied such descriptive statistics of the rates of return as the arithmetic average, standard deviation and semi-standard deviation, skewness and kurtosis, and there will be checked if the rate of return are subject to normal distribution and if their </w:t>
      </w:r>
      <w:r w:rsidR="00FB34DA">
        <w:rPr>
          <w:rFonts w:ascii="Times New Roman" w:hAnsi="Times New Roman" w:cs="Times New Roman"/>
          <w:sz w:val="24"/>
          <w:szCs w:val="24"/>
          <w:lang w:val="en-US"/>
        </w:rPr>
        <w:t xml:space="preserve">series </w:t>
      </w:r>
      <w:r w:rsidRPr="00B30FE4">
        <w:rPr>
          <w:rFonts w:ascii="Times New Roman" w:hAnsi="Times New Roman" w:cs="Times New Roman"/>
          <w:sz w:val="24"/>
          <w:szCs w:val="24"/>
          <w:lang w:val="en-US"/>
        </w:rPr>
        <w:t xml:space="preserve">are stationary. There will also be verified the following hypotheses: a) whether the value of the expected rate of return on the shares of the audited company actually differs from zero, b) whether there is a statistically significant difference between the rate of return the shares of a company and the return on the portfolio of stock index to which the company belongs and c) whether there is a statistically significant difference between the volatility of the rate of return on the shares of a company and the volatility of the rate of return on the portfolio of stock index. The study described above will also be carried out in the distribution of the whole market to </w:t>
      </w:r>
      <w:r w:rsidR="000332A5">
        <w:rPr>
          <w:rFonts w:ascii="Times New Roman" w:hAnsi="Times New Roman" w:cs="Times New Roman"/>
          <w:sz w:val="24"/>
          <w:szCs w:val="24"/>
          <w:lang w:val="en-US"/>
        </w:rPr>
        <w:t>a bull market and a bear market</w:t>
      </w:r>
      <w:r w:rsidR="00EC1DE2">
        <w:rPr>
          <w:rStyle w:val="Odwoanieprzypisudolnego"/>
          <w:rFonts w:ascii="Times New Roman" w:hAnsi="Times New Roman" w:cs="Times New Roman"/>
          <w:sz w:val="24"/>
          <w:szCs w:val="24"/>
          <w:lang w:val="en-US"/>
        </w:rPr>
        <w:footnoteReference w:id="1"/>
      </w:r>
      <w:r w:rsidR="000332A5">
        <w:rPr>
          <w:rFonts w:ascii="Times New Roman" w:hAnsi="Times New Roman" w:cs="Times New Roman"/>
          <w:sz w:val="24"/>
          <w:szCs w:val="24"/>
          <w:lang w:val="en-US"/>
        </w:rPr>
        <w:t>.</w:t>
      </w:r>
    </w:p>
    <w:p w14:paraId="379D4850" w14:textId="77777777" w:rsidR="00724D5E" w:rsidRPr="00B30FE4" w:rsidRDefault="00724D5E" w:rsidP="00747B41">
      <w:pPr>
        <w:ind w:firstLine="426"/>
        <w:contextualSpacing/>
        <w:jc w:val="both"/>
        <w:rPr>
          <w:rFonts w:ascii="Times New Roman" w:hAnsi="Times New Roman" w:cs="Times New Roman"/>
          <w:sz w:val="24"/>
          <w:szCs w:val="24"/>
          <w:lang w:val="en-US"/>
        </w:rPr>
      </w:pPr>
    </w:p>
    <w:p w14:paraId="27EBF071" w14:textId="77777777" w:rsidR="00724D5E" w:rsidRDefault="00724D5E" w:rsidP="00747B41">
      <w:pPr>
        <w:contextualSpacing/>
        <w:jc w:val="both"/>
        <w:rPr>
          <w:rFonts w:ascii="Times New Roman" w:hAnsi="Times New Roman" w:cs="Times New Roman"/>
          <w:b/>
          <w:sz w:val="28"/>
          <w:szCs w:val="28"/>
          <w:lang w:val="en-US"/>
        </w:rPr>
      </w:pPr>
      <w:r w:rsidRPr="00B30FE4">
        <w:rPr>
          <w:rFonts w:ascii="Times New Roman" w:hAnsi="Times New Roman" w:cs="Times New Roman"/>
          <w:b/>
          <w:sz w:val="28"/>
          <w:szCs w:val="28"/>
          <w:lang w:val="en-US"/>
        </w:rPr>
        <w:t>2. Overview of the subject literature</w:t>
      </w:r>
    </w:p>
    <w:p w14:paraId="6DC0194A" w14:textId="77777777" w:rsidR="00747B41" w:rsidRPr="00B30FE4" w:rsidRDefault="00747B41" w:rsidP="00747B41">
      <w:pPr>
        <w:contextualSpacing/>
        <w:jc w:val="both"/>
        <w:rPr>
          <w:rFonts w:ascii="Times New Roman" w:hAnsi="Times New Roman" w:cs="Times New Roman"/>
          <w:sz w:val="28"/>
          <w:szCs w:val="28"/>
          <w:lang w:val="en-US"/>
        </w:rPr>
      </w:pPr>
    </w:p>
    <w:p w14:paraId="2173EE8D" w14:textId="4FB81F0F" w:rsidR="00724D5E" w:rsidRPr="00B30FE4" w:rsidRDefault="00724D5E"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 xml:space="preserve">The study of basic statistical properties rates of return of shares of the companies, especially listed on the stock exchange market is usually a prelude to further study of the rates of return from shares. In particular examination of these properties is needed to estimate and analyze the beta parameter in the Sharpe model (Sharpe, 1964: 425-442). Understanding these properties enables use of the appropriate method for estimation of the model when assumptions about distribution of the rate of return or the stochastic structure of the model </w:t>
      </w:r>
      <w:r w:rsidR="007D48A5">
        <w:rPr>
          <w:rFonts w:ascii="Times New Roman" w:hAnsi="Times New Roman" w:cs="Times New Roman"/>
          <w:sz w:val="24"/>
          <w:szCs w:val="24"/>
          <w:lang w:val="en-US"/>
        </w:rPr>
        <w:t>are</w:t>
      </w:r>
      <w:r w:rsidRPr="00B30FE4">
        <w:rPr>
          <w:rFonts w:ascii="Times New Roman" w:hAnsi="Times New Roman" w:cs="Times New Roman"/>
          <w:sz w:val="24"/>
          <w:szCs w:val="24"/>
          <w:lang w:val="en-US"/>
        </w:rPr>
        <w:t xml:space="preserve"> not met and </w:t>
      </w:r>
      <w:r w:rsidRPr="00B30FE4">
        <w:rPr>
          <w:rFonts w:ascii="Times New Roman" w:hAnsi="Times New Roman" w:cs="Times New Roman"/>
          <w:sz w:val="24"/>
          <w:szCs w:val="24"/>
          <w:lang w:val="en-US"/>
        </w:rPr>
        <w:lastRenderedPageBreak/>
        <w:t>we want the estimated beta parameter me</w:t>
      </w:r>
      <w:r w:rsidR="00066BBB">
        <w:rPr>
          <w:rFonts w:ascii="Times New Roman" w:hAnsi="Times New Roman" w:cs="Times New Roman"/>
          <w:sz w:val="24"/>
          <w:szCs w:val="24"/>
          <w:lang w:val="en-US"/>
        </w:rPr>
        <w:t xml:space="preserve">ets </w:t>
      </w:r>
      <w:r w:rsidRPr="00B30FE4">
        <w:rPr>
          <w:rFonts w:ascii="Times New Roman" w:hAnsi="Times New Roman" w:cs="Times New Roman"/>
          <w:sz w:val="24"/>
          <w:szCs w:val="24"/>
          <w:lang w:val="en-US"/>
        </w:rPr>
        <w:t xml:space="preserve">the assumptions of the best estimator (i.e. </w:t>
      </w:r>
      <w:r w:rsidR="00066BBB">
        <w:rPr>
          <w:rFonts w:ascii="Times New Roman" w:hAnsi="Times New Roman" w:cs="Times New Roman"/>
          <w:sz w:val="24"/>
          <w:szCs w:val="24"/>
          <w:lang w:val="en-US"/>
        </w:rPr>
        <w:t>i</w:t>
      </w:r>
      <w:r w:rsidRPr="00B30FE4">
        <w:rPr>
          <w:rFonts w:ascii="Times New Roman" w:hAnsi="Times New Roman" w:cs="Times New Roman"/>
          <w:sz w:val="24"/>
          <w:szCs w:val="24"/>
          <w:lang w:val="en-US"/>
        </w:rPr>
        <w:t xml:space="preserve">s unbiased, consistent and most effective). This is also important for the stability study of this parameter, especially when the entire period of the statistical sample is divided into sub-periods of growth (bull market) and falls (bear market) and Sharpe model estimation runs separately for the two periods. </w:t>
      </w:r>
    </w:p>
    <w:p w14:paraId="11FC20F8" w14:textId="50B393F4" w:rsidR="00E96241" w:rsidRPr="00B30FE4" w:rsidRDefault="00E96241"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 xml:space="preserve">In the world numerous empirical studies on the statistical properties of the rates of return from shares have been carried out for many years. </w:t>
      </w:r>
      <w:r w:rsidR="00DD4714">
        <w:rPr>
          <w:rFonts w:ascii="Times New Roman" w:hAnsi="Times New Roman" w:cs="Times New Roman"/>
          <w:sz w:val="24"/>
          <w:szCs w:val="24"/>
          <w:lang w:val="en-US"/>
        </w:rPr>
        <w:t xml:space="preserve">Among them we can point at study </w:t>
      </w:r>
      <w:r w:rsidR="00DD4714" w:rsidRPr="00B30FE4">
        <w:rPr>
          <w:rFonts w:ascii="Times New Roman" w:hAnsi="Times New Roman" w:cs="Times New Roman"/>
          <w:sz w:val="24"/>
          <w:szCs w:val="24"/>
          <w:lang w:val="en-US"/>
        </w:rPr>
        <w:t xml:space="preserve">conducted by A. </w:t>
      </w:r>
      <w:proofErr w:type="spellStart"/>
      <w:r w:rsidR="00DD4714" w:rsidRPr="00B30FE4">
        <w:rPr>
          <w:rFonts w:ascii="Times New Roman" w:hAnsi="Times New Roman" w:cs="Times New Roman"/>
          <w:sz w:val="24"/>
          <w:szCs w:val="24"/>
          <w:lang w:val="en-US"/>
        </w:rPr>
        <w:t>Corhay</w:t>
      </w:r>
      <w:proofErr w:type="spellEnd"/>
      <w:r w:rsidR="00DD4714" w:rsidRPr="00B30FE4">
        <w:rPr>
          <w:rFonts w:ascii="Times New Roman" w:hAnsi="Times New Roman" w:cs="Times New Roman"/>
          <w:sz w:val="24"/>
          <w:szCs w:val="24"/>
          <w:lang w:val="en-US"/>
        </w:rPr>
        <w:t xml:space="preserve"> and A. </w:t>
      </w:r>
      <w:proofErr w:type="spellStart"/>
      <w:r w:rsidR="00DD4714" w:rsidRPr="00B30FE4">
        <w:rPr>
          <w:rFonts w:ascii="Times New Roman" w:hAnsi="Times New Roman" w:cs="Times New Roman"/>
          <w:sz w:val="24"/>
          <w:szCs w:val="24"/>
          <w:lang w:val="en-US"/>
        </w:rPr>
        <w:t>Tourani</w:t>
      </w:r>
      <w:proofErr w:type="spellEnd"/>
      <w:r w:rsidR="00DD4714" w:rsidRPr="00B30FE4">
        <w:rPr>
          <w:rFonts w:ascii="Times New Roman" w:hAnsi="Times New Roman" w:cs="Times New Roman"/>
          <w:sz w:val="24"/>
          <w:szCs w:val="24"/>
          <w:lang w:val="en-US"/>
        </w:rPr>
        <w:t xml:space="preserve"> Rad (1994: 271-282). Analysis of the daily rates of return from shares held by European indexes pointed to the presence of, among others, such phenomena as </w:t>
      </w:r>
      <w:proofErr w:type="spellStart"/>
      <w:r w:rsidR="00DD4714" w:rsidRPr="00B30FE4">
        <w:rPr>
          <w:rFonts w:ascii="Times New Roman" w:hAnsi="Times New Roman" w:cs="Times New Roman"/>
          <w:sz w:val="24"/>
          <w:szCs w:val="24"/>
          <w:lang w:val="en-US"/>
        </w:rPr>
        <w:t>skewness</w:t>
      </w:r>
      <w:proofErr w:type="spellEnd"/>
      <w:r w:rsidR="00DD4714" w:rsidRPr="00B30FE4">
        <w:rPr>
          <w:rFonts w:ascii="Times New Roman" w:hAnsi="Times New Roman" w:cs="Times New Roman"/>
          <w:sz w:val="24"/>
          <w:szCs w:val="24"/>
          <w:lang w:val="en-US"/>
        </w:rPr>
        <w:t xml:space="preserve">, </w:t>
      </w:r>
      <w:proofErr w:type="spellStart"/>
      <w:r w:rsidR="00DD4714" w:rsidRPr="00B30FE4">
        <w:rPr>
          <w:rFonts w:ascii="Times New Roman" w:hAnsi="Times New Roman" w:cs="Times New Roman"/>
          <w:sz w:val="24"/>
          <w:szCs w:val="24"/>
          <w:lang w:val="en-US"/>
        </w:rPr>
        <w:t>leptokurticity</w:t>
      </w:r>
      <w:proofErr w:type="spellEnd"/>
      <w:r w:rsidR="00DD4714" w:rsidRPr="00B30FE4">
        <w:rPr>
          <w:rFonts w:ascii="Times New Roman" w:hAnsi="Times New Roman" w:cs="Times New Roman"/>
          <w:sz w:val="24"/>
          <w:szCs w:val="24"/>
          <w:lang w:val="en-US"/>
        </w:rPr>
        <w:t xml:space="preserve"> and </w:t>
      </w:r>
      <w:proofErr w:type="spellStart"/>
      <w:r w:rsidR="00DD4714" w:rsidRPr="00B30FE4">
        <w:rPr>
          <w:rFonts w:ascii="Times New Roman" w:hAnsi="Times New Roman" w:cs="Times New Roman"/>
          <w:sz w:val="24"/>
          <w:szCs w:val="24"/>
          <w:lang w:val="en-US"/>
        </w:rPr>
        <w:t>heteroskedasticity</w:t>
      </w:r>
      <w:proofErr w:type="spellEnd"/>
      <w:r w:rsidR="00DD4714" w:rsidRPr="00B30FE4">
        <w:rPr>
          <w:rFonts w:ascii="Times New Roman" w:hAnsi="Times New Roman" w:cs="Times New Roman"/>
          <w:sz w:val="24"/>
          <w:szCs w:val="24"/>
          <w:lang w:val="en-US"/>
        </w:rPr>
        <w:t xml:space="preserve">. </w:t>
      </w:r>
      <w:r w:rsidR="000B2625" w:rsidRPr="00B30FE4">
        <w:rPr>
          <w:rFonts w:ascii="Times New Roman" w:hAnsi="Times New Roman" w:cs="Times New Roman"/>
          <w:sz w:val="24"/>
          <w:szCs w:val="24"/>
          <w:lang w:val="en-US"/>
        </w:rPr>
        <w:t xml:space="preserve">Another study (B. Harrison, R. </w:t>
      </w:r>
      <w:proofErr w:type="spellStart"/>
      <w:r w:rsidR="000B2625" w:rsidRPr="00B30FE4">
        <w:rPr>
          <w:rFonts w:ascii="Times New Roman" w:hAnsi="Times New Roman" w:cs="Times New Roman"/>
          <w:sz w:val="24"/>
          <w:szCs w:val="24"/>
          <w:lang w:val="en-US"/>
        </w:rPr>
        <w:t>Lupu</w:t>
      </w:r>
      <w:proofErr w:type="spellEnd"/>
      <w:r w:rsidR="000B2625" w:rsidRPr="00B30FE4">
        <w:rPr>
          <w:rFonts w:ascii="Times New Roman" w:hAnsi="Times New Roman" w:cs="Times New Roman"/>
          <w:sz w:val="24"/>
          <w:szCs w:val="24"/>
          <w:lang w:val="en-US"/>
        </w:rPr>
        <w:t xml:space="preserve">, I. </w:t>
      </w:r>
      <w:proofErr w:type="spellStart"/>
      <w:r w:rsidR="000B2625" w:rsidRPr="00B30FE4">
        <w:rPr>
          <w:rFonts w:ascii="Times New Roman" w:hAnsi="Times New Roman" w:cs="Times New Roman"/>
          <w:sz w:val="24"/>
          <w:szCs w:val="24"/>
          <w:lang w:val="en-US"/>
        </w:rPr>
        <w:t>Lupu</w:t>
      </w:r>
      <w:proofErr w:type="spellEnd"/>
      <w:r w:rsidR="000B2625" w:rsidRPr="00B30FE4">
        <w:rPr>
          <w:rFonts w:ascii="Times New Roman" w:hAnsi="Times New Roman" w:cs="Times New Roman"/>
          <w:sz w:val="24"/>
          <w:szCs w:val="24"/>
          <w:lang w:val="en-US"/>
        </w:rPr>
        <w:t>, 2010: 41-54) conducted on international markets affected the daily rates of return from shares on ten markets of Central and Eastern Europe in the period 1994-2006. The results indicated stationarity of the series rates of return, their independence and cross-correlation.</w:t>
      </w:r>
      <w:r w:rsidR="00DD4714">
        <w:rPr>
          <w:rFonts w:ascii="Times New Roman" w:hAnsi="Times New Roman" w:cs="Times New Roman"/>
          <w:sz w:val="24"/>
          <w:szCs w:val="24"/>
          <w:lang w:val="en-US"/>
        </w:rPr>
        <w:t xml:space="preserve"> </w:t>
      </w:r>
      <w:r w:rsidR="004942C2" w:rsidRPr="00B30FE4">
        <w:rPr>
          <w:rFonts w:ascii="Times New Roman" w:hAnsi="Times New Roman" w:cs="Times New Roman"/>
          <w:sz w:val="24"/>
          <w:szCs w:val="24"/>
          <w:lang w:val="en-US"/>
        </w:rPr>
        <w:t xml:space="preserve">A study of distribution of monthly rates of return of the shares from the US market can be mentioned here conducted by R. Officer (1972: 807-812), who showed that the basic feature of the analyzed distributions were </w:t>
      </w:r>
      <w:r w:rsidR="00093B2B">
        <w:rPr>
          <w:rFonts w:ascii="Times New Roman" w:hAnsi="Times New Roman" w:cs="Times New Roman"/>
          <w:sz w:val="24"/>
          <w:szCs w:val="24"/>
          <w:lang w:val="en-US"/>
        </w:rPr>
        <w:t xml:space="preserve">fat </w:t>
      </w:r>
      <w:r w:rsidR="004942C2" w:rsidRPr="00B30FE4">
        <w:rPr>
          <w:rFonts w:ascii="Times New Roman" w:hAnsi="Times New Roman" w:cs="Times New Roman"/>
          <w:sz w:val="24"/>
          <w:szCs w:val="24"/>
          <w:lang w:val="en-US"/>
        </w:rPr>
        <w:t xml:space="preserve">tails, but same distribution was characterized by stability in the period of up to five months. </w:t>
      </w:r>
    </w:p>
    <w:p w14:paraId="6CCA36FA" w14:textId="2D0DC38B" w:rsidR="00ED6BF7" w:rsidRDefault="00D07571"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 xml:space="preserve">The results of empirical studies relating to basic statistical </w:t>
      </w:r>
      <w:r w:rsidR="00DA4347">
        <w:rPr>
          <w:rFonts w:ascii="Times New Roman" w:hAnsi="Times New Roman" w:cs="Times New Roman"/>
          <w:sz w:val="24"/>
          <w:szCs w:val="24"/>
          <w:lang w:val="en-US"/>
        </w:rPr>
        <w:t xml:space="preserve">properties </w:t>
      </w:r>
      <w:r w:rsidRPr="00B30FE4">
        <w:rPr>
          <w:rFonts w:ascii="Times New Roman" w:hAnsi="Times New Roman" w:cs="Times New Roman"/>
          <w:sz w:val="24"/>
          <w:szCs w:val="24"/>
          <w:lang w:val="en-US"/>
        </w:rPr>
        <w:t xml:space="preserve">of the rates of return from shares, as well as in connection with estimation and analysis of the beta parameter can also be found in many publications. For </w:t>
      </w:r>
      <w:proofErr w:type="gramStart"/>
      <w:r w:rsidRPr="00B30FE4">
        <w:rPr>
          <w:rFonts w:ascii="Times New Roman" w:hAnsi="Times New Roman" w:cs="Times New Roman"/>
          <w:sz w:val="24"/>
          <w:szCs w:val="24"/>
          <w:lang w:val="en-US"/>
        </w:rPr>
        <w:t>example</w:t>
      </w:r>
      <w:proofErr w:type="gramEnd"/>
      <w:r w:rsidRPr="00B30FE4">
        <w:rPr>
          <w:rFonts w:ascii="Times New Roman" w:hAnsi="Times New Roman" w:cs="Times New Roman"/>
          <w:sz w:val="24"/>
          <w:szCs w:val="24"/>
          <w:lang w:val="en-US"/>
        </w:rPr>
        <w:t xml:space="preserve"> we can mention publications of such authors as: W. </w:t>
      </w:r>
      <w:proofErr w:type="spellStart"/>
      <w:r w:rsidRPr="00B30FE4">
        <w:rPr>
          <w:rFonts w:ascii="Times New Roman" w:hAnsi="Times New Roman" w:cs="Times New Roman"/>
          <w:sz w:val="24"/>
          <w:szCs w:val="24"/>
          <w:lang w:val="en-US"/>
        </w:rPr>
        <w:t>Dębski</w:t>
      </w:r>
      <w:proofErr w:type="spellEnd"/>
      <w:r w:rsidRPr="00B30FE4">
        <w:rPr>
          <w:rFonts w:ascii="Times New Roman" w:hAnsi="Times New Roman" w:cs="Times New Roman"/>
          <w:sz w:val="24"/>
          <w:szCs w:val="24"/>
          <w:lang w:val="en-US"/>
        </w:rPr>
        <w:t xml:space="preserve">, E. </w:t>
      </w:r>
      <w:proofErr w:type="spellStart"/>
      <w:r w:rsidRPr="00B30FE4">
        <w:rPr>
          <w:rFonts w:ascii="Times New Roman" w:hAnsi="Times New Roman" w:cs="Times New Roman"/>
          <w:sz w:val="24"/>
          <w:szCs w:val="24"/>
          <w:lang w:val="en-US"/>
        </w:rPr>
        <w:t>Feder-Sempach</w:t>
      </w:r>
      <w:proofErr w:type="spellEnd"/>
      <w:r w:rsidRPr="00B30FE4">
        <w:rPr>
          <w:rFonts w:ascii="Times New Roman" w:hAnsi="Times New Roman" w:cs="Times New Roman"/>
          <w:sz w:val="24"/>
          <w:szCs w:val="24"/>
          <w:lang w:val="en-US"/>
        </w:rPr>
        <w:t xml:space="preserve"> (2012: 90-102), E. </w:t>
      </w:r>
      <w:proofErr w:type="spellStart"/>
      <w:r w:rsidRPr="00B30FE4">
        <w:rPr>
          <w:rFonts w:ascii="Times New Roman" w:hAnsi="Times New Roman" w:cs="Times New Roman"/>
          <w:sz w:val="24"/>
          <w:szCs w:val="24"/>
          <w:lang w:val="en-US"/>
        </w:rPr>
        <w:t>Feder-Sempach</w:t>
      </w:r>
      <w:proofErr w:type="spellEnd"/>
      <w:r w:rsidRPr="00B30FE4">
        <w:rPr>
          <w:rFonts w:ascii="Times New Roman" w:hAnsi="Times New Roman" w:cs="Times New Roman"/>
          <w:sz w:val="24"/>
          <w:szCs w:val="24"/>
          <w:lang w:val="en-US"/>
        </w:rPr>
        <w:t xml:space="preserve"> (2011), K. </w:t>
      </w:r>
      <w:proofErr w:type="spellStart"/>
      <w:r w:rsidRPr="00B30FE4">
        <w:rPr>
          <w:rFonts w:ascii="Times New Roman" w:hAnsi="Times New Roman" w:cs="Times New Roman"/>
          <w:sz w:val="24"/>
          <w:szCs w:val="24"/>
          <w:lang w:val="en-US"/>
        </w:rPr>
        <w:t>Kompa</w:t>
      </w:r>
      <w:proofErr w:type="spellEnd"/>
      <w:r w:rsidRPr="00B30FE4">
        <w:rPr>
          <w:rFonts w:ascii="Times New Roman" w:hAnsi="Times New Roman" w:cs="Times New Roman"/>
          <w:sz w:val="24"/>
          <w:szCs w:val="24"/>
          <w:lang w:val="en-US"/>
        </w:rPr>
        <w:t xml:space="preserve">, A. </w:t>
      </w:r>
      <w:proofErr w:type="spellStart"/>
      <w:r w:rsidRPr="00B30FE4">
        <w:rPr>
          <w:rFonts w:ascii="Times New Roman" w:hAnsi="Times New Roman" w:cs="Times New Roman"/>
          <w:sz w:val="24"/>
          <w:szCs w:val="24"/>
          <w:lang w:val="en-US"/>
        </w:rPr>
        <w:t>Matuszewska-Janica</w:t>
      </w:r>
      <w:proofErr w:type="spellEnd"/>
      <w:r w:rsidRPr="00B30FE4">
        <w:rPr>
          <w:rFonts w:ascii="Times New Roman" w:hAnsi="Times New Roman" w:cs="Times New Roman"/>
          <w:sz w:val="24"/>
          <w:szCs w:val="24"/>
          <w:lang w:val="en-US"/>
        </w:rPr>
        <w:t xml:space="preserve"> (2008: 614-629), S. </w:t>
      </w:r>
      <w:proofErr w:type="spellStart"/>
      <w:r w:rsidRPr="00B30FE4">
        <w:rPr>
          <w:rFonts w:ascii="Times New Roman" w:hAnsi="Times New Roman" w:cs="Times New Roman"/>
          <w:sz w:val="24"/>
          <w:szCs w:val="24"/>
          <w:lang w:val="en-US"/>
        </w:rPr>
        <w:t>Schwert</w:t>
      </w:r>
      <w:proofErr w:type="spellEnd"/>
      <w:r w:rsidRPr="00B30FE4">
        <w:rPr>
          <w:rFonts w:ascii="Times New Roman" w:hAnsi="Times New Roman" w:cs="Times New Roman"/>
          <w:sz w:val="24"/>
          <w:szCs w:val="24"/>
          <w:lang w:val="en-US"/>
        </w:rPr>
        <w:t xml:space="preserve">, P. Seguin (1990: 1129-1155), W. </w:t>
      </w:r>
      <w:proofErr w:type="spellStart"/>
      <w:r w:rsidRPr="00B30FE4">
        <w:rPr>
          <w:rFonts w:ascii="Times New Roman" w:hAnsi="Times New Roman" w:cs="Times New Roman"/>
          <w:sz w:val="24"/>
          <w:szCs w:val="24"/>
          <w:lang w:val="en-US"/>
        </w:rPr>
        <w:t>Tarczyński</w:t>
      </w:r>
      <w:proofErr w:type="spellEnd"/>
      <w:r w:rsidRPr="00B30FE4">
        <w:rPr>
          <w:rFonts w:ascii="Times New Roman" w:hAnsi="Times New Roman" w:cs="Times New Roman"/>
          <w:sz w:val="24"/>
          <w:szCs w:val="24"/>
          <w:lang w:val="en-US"/>
        </w:rPr>
        <w:t>.,</w:t>
      </w:r>
      <w:r w:rsidR="00747B41">
        <w:rPr>
          <w:rFonts w:ascii="Times New Roman" w:hAnsi="Times New Roman" w:cs="Times New Roman"/>
          <w:sz w:val="24"/>
          <w:szCs w:val="24"/>
          <w:lang w:val="en-US"/>
        </w:rPr>
        <w:t xml:space="preserve"> D. Witkowska, K. </w:t>
      </w:r>
      <w:proofErr w:type="spellStart"/>
      <w:r w:rsidR="00747B41">
        <w:rPr>
          <w:rFonts w:ascii="Times New Roman" w:hAnsi="Times New Roman" w:cs="Times New Roman"/>
          <w:sz w:val="24"/>
          <w:szCs w:val="24"/>
          <w:lang w:val="en-US"/>
        </w:rPr>
        <w:t>Kompa</w:t>
      </w:r>
      <w:proofErr w:type="spellEnd"/>
      <w:r w:rsidR="00747B41">
        <w:rPr>
          <w:rFonts w:ascii="Times New Roman" w:hAnsi="Times New Roman" w:cs="Times New Roman"/>
          <w:sz w:val="24"/>
          <w:szCs w:val="24"/>
          <w:lang w:val="en-US"/>
        </w:rPr>
        <w:t xml:space="preserve"> (2013).</w:t>
      </w:r>
    </w:p>
    <w:p w14:paraId="05A39BB2" w14:textId="77777777" w:rsidR="00747B41" w:rsidRPr="00747B41" w:rsidRDefault="00747B41" w:rsidP="00747B41">
      <w:pPr>
        <w:ind w:firstLine="426"/>
        <w:contextualSpacing/>
        <w:jc w:val="both"/>
        <w:rPr>
          <w:rFonts w:ascii="Times New Roman" w:hAnsi="Times New Roman" w:cs="Times New Roman"/>
          <w:sz w:val="24"/>
          <w:szCs w:val="24"/>
          <w:lang w:val="en-US"/>
        </w:rPr>
      </w:pPr>
    </w:p>
    <w:p w14:paraId="24ABFC26" w14:textId="77777777" w:rsidR="007E62DA" w:rsidRDefault="009E2DE8" w:rsidP="00747B41">
      <w:pPr>
        <w:contextualSpacing/>
        <w:jc w:val="both"/>
        <w:rPr>
          <w:rFonts w:ascii="Times New Roman" w:hAnsi="Times New Roman" w:cs="Times New Roman"/>
          <w:sz w:val="28"/>
          <w:szCs w:val="28"/>
          <w:lang w:val="en-US"/>
        </w:rPr>
      </w:pPr>
      <w:r w:rsidRPr="00B30FE4">
        <w:rPr>
          <w:rFonts w:ascii="Times New Roman" w:hAnsi="Times New Roman" w:cs="Times New Roman"/>
          <w:b/>
          <w:sz w:val="28"/>
          <w:szCs w:val="28"/>
          <w:lang w:val="en-US"/>
        </w:rPr>
        <w:t>3. Description of the research sample</w:t>
      </w:r>
      <w:r w:rsidR="00294702" w:rsidRPr="00B30FE4">
        <w:rPr>
          <w:rFonts w:ascii="Times New Roman" w:hAnsi="Times New Roman" w:cs="Times New Roman"/>
          <w:sz w:val="28"/>
          <w:szCs w:val="28"/>
          <w:lang w:val="en-US"/>
        </w:rPr>
        <w:t xml:space="preserve"> </w:t>
      </w:r>
    </w:p>
    <w:p w14:paraId="3CA3AA11" w14:textId="77777777" w:rsidR="00747B41" w:rsidRPr="00B30FE4" w:rsidRDefault="00747B41" w:rsidP="00747B41">
      <w:pPr>
        <w:contextualSpacing/>
        <w:jc w:val="both"/>
        <w:rPr>
          <w:rFonts w:ascii="Times New Roman" w:hAnsi="Times New Roman" w:cs="Times New Roman"/>
          <w:sz w:val="24"/>
          <w:szCs w:val="24"/>
          <w:lang w:val="en-US"/>
        </w:rPr>
      </w:pPr>
    </w:p>
    <w:p w14:paraId="565D9115" w14:textId="2B31DD5D" w:rsidR="00DD6465" w:rsidRDefault="0055426B"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 xml:space="preserve">For the studies there were selected shares of the largest companies listed on the Warsaw Stock Exchange in the period 2005-2015 (30 September 2015), for which data from this period were complete.  The data comes from the Thomson Reuters service. There were collected data on monthly returns for 131 companies that have been assigned to individual indices </w:t>
      </w:r>
      <w:r w:rsidR="00B62944">
        <w:rPr>
          <w:rFonts w:ascii="Times New Roman" w:hAnsi="Times New Roman" w:cs="Times New Roman"/>
          <w:sz w:val="24"/>
          <w:szCs w:val="24"/>
          <w:lang w:val="en-US"/>
        </w:rPr>
        <w:t>defin</w:t>
      </w:r>
      <w:r w:rsidRPr="00B30FE4">
        <w:rPr>
          <w:rFonts w:ascii="Times New Roman" w:hAnsi="Times New Roman" w:cs="Times New Roman"/>
          <w:sz w:val="24"/>
          <w:szCs w:val="24"/>
          <w:lang w:val="en-US"/>
        </w:rPr>
        <w:t xml:space="preserve">ed by the Exchange in accordance with the market capitalization. In accordance with the division 12 companies belong to the WIG20 index, 25 companies to mWIG40 index, 30 stocks to sWIG80 and the remaining 64 companies to </w:t>
      </w:r>
      <w:proofErr w:type="spellStart"/>
      <w:r w:rsidRPr="00B30FE4">
        <w:rPr>
          <w:rFonts w:ascii="Times New Roman" w:hAnsi="Times New Roman" w:cs="Times New Roman"/>
          <w:sz w:val="24"/>
          <w:szCs w:val="24"/>
          <w:lang w:val="en-US"/>
        </w:rPr>
        <w:t>WIGPlus</w:t>
      </w:r>
      <w:proofErr w:type="spellEnd"/>
      <w:r w:rsidRPr="00B30FE4">
        <w:rPr>
          <w:rFonts w:ascii="Times New Roman" w:hAnsi="Times New Roman" w:cs="Times New Roman"/>
          <w:sz w:val="24"/>
          <w:szCs w:val="24"/>
          <w:lang w:val="en-US"/>
        </w:rPr>
        <w:t xml:space="preserve"> index</w:t>
      </w:r>
      <w:r w:rsidR="00066BBB">
        <w:rPr>
          <w:rStyle w:val="Odwoanieprzypisudolnego"/>
          <w:rFonts w:ascii="Times New Roman" w:hAnsi="Times New Roman" w:cs="Times New Roman"/>
          <w:sz w:val="24"/>
          <w:szCs w:val="24"/>
          <w:lang w:val="en-US"/>
        </w:rPr>
        <w:footnoteReference w:id="2"/>
      </w:r>
      <w:r w:rsidRPr="00B30FE4">
        <w:rPr>
          <w:rFonts w:ascii="Times New Roman" w:hAnsi="Times New Roman" w:cs="Times New Roman"/>
          <w:sz w:val="24"/>
          <w:szCs w:val="24"/>
          <w:lang w:val="en-US"/>
        </w:rPr>
        <w:t xml:space="preserve">. More interesting from the cognitive point of view there could be the division of companies according to the adopted by the stock exchange classification of economic sectors, however, not for of each of them there is published a suitable stock market </w:t>
      </w:r>
      <w:proofErr w:type="spellStart"/>
      <w:r w:rsidRPr="00B30FE4">
        <w:rPr>
          <w:rFonts w:ascii="Times New Roman" w:hAnsi="Times New Roman" w:cs="Times New Roman"/>
          <w:sz w:val="24"/>
          <w:szCs w:val="24"/>
          <w:lang w:val="en-US"/>
        </w:rPr>
        <w:t>subindex</w:t>
      </w:r>
      <w:proofErr w:type="spellEnd"/>
      <w:r w:rsidRPr="00B30FE4">
        <w:rPr>
          <w:rFonts w:ascii="Times New Roman" w:hAnsi="Times New Roman" w:cs="Times New Roman"/>
          <w:sz w:val="24"/>
          <w:szCs w:val="24"/>
          <w:lang w:val="en-US"/>
        </w:rPr>
        <w:t xml:space="preserve"> from which the rate of return would be needed as a reference to verify the hypotheses posed in the article. So the entire database for 131 companies contains 130 observations of monthly rate of return calculated using the closing price on the last day of the month, i.e. from 31 December 2004 to 30 September 2015. The rates of return are calculated without taking into account revenues from dividends according to the following formula</w:t>
      </w:r>
      <w:r w:rsidR="000E33CE">
        <w:rPr>
          <w:rFonts w:ascii="Times New Roman" w:hAnsi="Times New Roman" w:cs="Times New Roman"/>
          <w:sz w:val="24"/>
          <w:szCs w:val="24"/>
          <w:lang w:val="en-US"/>
        </w:rPr>
        <w:t>:</w:t>
      </w:r>
    </w:p>
    <w:p w14:paraId="6AFFF8C5" w14:textId="184A3597" w:rsidR="003D0D98" w:rsidRPr="003D0D98" w:rsidRDefault="00F031A2" w:rsidP="00747B41">
      <w:pPr>
        <w:ind w:firstLine="426"/>
        <w:contextualSpacing/>
        <w:jc w:val="both"/>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lang w:val="en-US"/>
            </w:rPr>
            <m:t>=(</m:t>
          </m:r>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r>
            <w:rPr>
              <w:rFonts w:ascii="Cambria Math" w:hAnsi="Cambria Math" w:cs="Times New Roman"/>
              <w:sz w:val="24"/>
              <w:szCs w:val="24"/>
              <w:lang w:val="en-US"/>
            </w:rPr>
            <m:t>-</m:t>
          </m:r>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 t</m:t>
              </m:r>
              <m:r>
                <w:rPr>
                  <w:rFonts w:ascii="Cambria Math" w:hAnsi="Cambria Math" w:cs="Times New Roman"/>
                  <w:sz w:val="24"/>
                  <w:szCs w:val="24"/>
                  <w:lang w:val="en-US"/>
                </w:rPr>
                <m:t>-1</m:t>
              </m:r>
            </m:sub>
          </m:sSub>
          <m:r>
            <w:rPr>
              <w:rFonts w:ascii="Cambria Math" w:hAnsi="Cambria Math" w:cs="Times New Roman"/>
              <w:sz w:val="24"/>
              <w:szCs w:val="24"/>
              <w:lang w:val="en-US"/>
            </w:rPr>
            <m:t>)∙100</m:t>
          </m:r>
        </m:oMath>
      </m:oMathPara>
    </w:p>
    <w:p w14:paraId="4136BB71" w14:textId="77777777" w:rsidR="0055426B" w:rsidRPr="00B30FE4" w:rsidRDefault="0055426B" w:rsidP="00747B41">
      <w:pPr>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where:</w:t>
      </w:r>
    </w:p>
    <w:p w14:paraId="20A984C5" w14:textId="2D7A7556" w:rsidR="0082380E" w:rsidRDefault="00F031A2" w:rsidP="00747B41">
      <w:pPr>
        <w:contextualSpacing/>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oMath>
      <w:r w:rsidR="0082380E" w:rsidRPr="0082380E">
        <w:rPr>
          <w:rFonts w:ascii="Times New Roman" w:eastAsiaTheme="minorEastAsia" w:hAnsi="Times New Roman" w:cs="Times New Roman"/>
          <w:sz w:val="24"/>
          <w:szCs w:val="24"/>
          <w:lang w:val="en-US"/>
        </w:rPr>
        <w:t xml:space="preserve"> – monthly logarithmic rate of return of the i-th share</w:t>
      </w:r>
      <w:r w:rsidR="0082380E">
        <w:rPr>
          <w:rFonts w:ascii="Times New Roman" w:eastAsiaTheme="minorEastAsia" w:hAnsi="Times New Roman" w:cs="Times New Roman"/>
          <w:sz w:val="24"/>
          <w:szCs w:val="24"/>
          <w:lang w:val="en-US"/>
        </w:rPr>
        <w:t xml:space="preserve"> in the period t (in%),</w:t>
      </w:r>
    </w:p>
    <w:p w14:paraId="4DF42A26" w14:textId="2A1F4877" w:rsidR="0082380E" w:rsidRPr="0082380E" w:rsidRDefault="00F031A2" w:rsidP="00747B41">
      <w:pPr>
        <w:contextualSpacing/>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oMath>
      <w:r w:rsidR="0082380E" w:rsidRPr="0082380E">
        <w:rPr>
          <w:rFonts w:ascii="Times New Roman" w:eastAsiaTheme="minorEastAsia" w:hAnsi="Times New Roman" w:cs="Times New Roman"/>
          <w:sz w:val="24"/>
          <w:szCs w:val="24"/>
          <w:lang w:val="en-US"/>
        </w:rPr>
        <w:t xml:space="preserve"> – price of the i-th share</w:t>
      </w:r>
      <w:r w:rsidR="0082380E">
        <w:rPr>
          <w:rFonts w:ascii="Times New Roman" w:eastAsiaTheme="minorEastAsia" w:hAnsi="Times New Roman" w:cs="Times New Roman"/>
          <w:sz w:val="24"/>
          <w:szCs w:val="24"/>
          <w:lang w:val="en-US"/>
        </w:rPr>
        <w:t xml:space="preserve"> in period t.</w:t>
      </w:r>
    </w:p>
    <w:p w14:paraId="22DEFD57" w14:textId="6B309AF6" w:rsidR="00961CE2" w:rsidRPr="00B30FE4" w:rsidRDefault="00AF4ECE"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For such defined research sample there were calculated basic descriptive statistics of the rates of return in the first place and research hypotheses were verified, referred to in the introduction. These calculations are a prelude to more advanced studies, e.g. relating to the beta parameter</w:t>
      </w:r>
      <w:r w:rsidR="00A066BE">
        <w:rPr>
          <w:rFonts w:ascii="Times New Roman" w:hAnsi="Times New Roman" w:cs="Times New Roman"/>
          <w:sz w:val="24"/>
          <w:szCs w:val="24"/>
          <w:lang w:val="en-US"/>
        </w:rPr>
        <w:t xml:space="preserve"> which will be done later on</w:t>
      </w:r>
      <w:r w:rsidRPr="00B30FE4">
        <w:rPr>
          <w:rFonts w:ascii="Times New Roman" w:hAnsi="Times New Roman" w:cs="Times New Roman"/>
          <w:sz w:val="24"/>
          <w:szCs w:val="24"/>
          <w:lang w:val="en-US"/>
        </w:rPr>
        <w:t xml:space="preserve">. To perform the </w:t>
      </w:r>
      <w:r w:rsidR="00A066BE">
        <w:rPr>
          <w:rFonts w:ascii="Times New Roman" w:hAnsi="Times New Roman" w:cs="Times New Roman"/>
          <w:sz w:val="24"/>
          <w:szCs w:val="24"/>
          <w:lang w:val="en-US"/>
        </w:rPr>
        <w:t xml:space="preserve">current </w:t>
      </w:r>
      <w:r w:rsidRPr="00B30FE4">
        <w:rPr>
          <w:rFonts w:ascii="Times New Roman" w:hAnsi="Times New Roman" w:cs="Times New Roman"/>
          <w:sz w:val="24"/>
          <w:szCs w:val="24"/>
          <w:lang w:val="en-US"/>
        </w:rPr>
        <w:t>calculations there was used the STATA program.</w:t>
      </w:r>
    </w:p>
    <w:p w14:paraId="7F7E4A16" w14:textId="47B97918" w:rsidR="00F471ED" w:rsidRDefault="0055426B"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 xml:space="preserve">The main problem in all analyzes relating to the beta parameter conducted on longer samples (over 5 years) is a division of the analyzed period to a growth market (bull market) and declining market (bear market). </w:t>
      </w:r>
      <w:r w:rsidR="00F471ED" w:rsidRPr="00B30FE4">
        <w:rPr>
          <w:rFonts w:ascii="Times New Roman" w:hAnsi="Times New Roman" w:cs="Times New Roman"/>
          <w:sz w:val="24"/>
          <w:szCs w:val="24"/>
          <w:lang w:val="en-US"/>
        </w:rPr>
        <w:t xml:space="preserve">An extensive study on the division of the stock market to a bull and bear market was proposed by A. Pagan and K. </w:t>
      </w:r>
      <w:proofErr w:type="spellStart"/>
      <w:r w:rsidR="00F471ED" w:rsidRPr="00B30FE4">
        <w:rPr>
          <w:rFonts w:ascii="Times New Roman" w:hAnsi="Times New Roman" w:cs="Times New Roman"/>
          <w:sz w:val="24"/>
          <w:szCs w:val="24"/>
          <w:lang w:val="en-US"/>
        </w:rPr>
        <w:t>Sossounov</w:t>
      </w:r>
      <w:proofErr w:type="spellEnd"/>
      <w:r w:rsidR="00F471ED" w:rsidRPr="00B30FE4">
        <w:rPr>
          <w:rFonts w:ascii="Times New Roman" w:hAnsi="Times New Roman" w:cs="Times New Roman"/>
          <w:sz w:val="24"/>
          <w:szCs w:val="24"/>
          <w:lang w:val="en-US"/>
        </w:rPr>
        <w:t xml:space="preserve"> (Pagan, </w:t>
      </w:r>
      <w:proofErr w:type="spellStart"/>
      <w:r w:rsidR="00F471ED" w:rsidRPr="00B30FE4">
        <w:rPr>
          <w:rFonts w:ascii="Times New Roman" w:hAnsi="Times New Roman" w:cs="Times New Roman"/>
          <w:sz w:val="24"/>
          <w:szCs w:val="24"/>
          <w:lang w:val="en-US"/>
        </w:rPr>
        <w:t>Sossounov</w:t>
      </w:r>
      <w:proofErr w:type="spellEnd"/>
      <w:r w:rsidR="00F471ED" w:rsidRPr="00B30FE4">
        <w:rPr>
          <w:rFonts w:ascii="Times New Roman" w:hAnsi="Times New Roman" w:cs="Times New Roman"/>
          <w:sz w:val="24"/>
          <w:szCs w:val="24"/>
          <w:lang w:val="en-US"/>
        </w:rPr>
        <w:t xml:space="preserve"> 2003: 23-46). The authors have undertaken some key issues related to the division of the market, which is used in various economic studies, e.g. relating to business cycles. They demonstrated basic definitions of a bull and bear market and main algorithms according to which this division is being made.</w:t>
      </w:r>
    </w:p>
    <w:p w14:paraId="04137EE5" w14:textId="7C81A766" w:rsidR="00747B41" w:rsidRPr="00B30FE4" w:rsidRDefault="00F471ED" w:rsidP="00FD59B3">
      <w:pPr>
        <w:ind w:firstLine="42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article we decided to use so called Peak and Trough Method </w:t>
      </w:r>
      <w:r w:rsidRPr="00B30FE4">
        <w:rPr>
          <w:rFonts w:ascii="Times New Roman" w:hAnsi="Times New Roman" w:cs="Times New Roman"/>
          <w:sz w:val="24"/>
          <w:szCs w:val="24"/>
          <w:lang w:val="en-US"/>
        </w:rPr>
        <w:t xml:space="preserve">(see. W. </w:t>
      </w:r>
      <w:proofErr w:type="spellStart"/>
      <w:r w:rsidRPr="00B30FE4">
        <w:rPr>
          <w:rFonts w:ascii="Times New Roman" w:hAnsi="Times New Roman" w:cs="Times New Roman"/>
          <w:sz w:val="24"/>
          <w:szCs w:val="24"/>
          <w:lang w:val="en-US"/>
        </w:rPr>
        <w:t>Dębski</w:t>
      </w:r>
      <w:proofErr w:type="spellEnd"/>
      <w:r w:rsidRPr="00B30FE4">
        <w:rPr>
          <w:rFonts w:ascii="Times New Roman" w:hAnsi="Times New Roman" w:cs="Times New Roman"/>
          <w:sz w:val="24"/>
          <w:szCs w:val="24"/>
          <w:lang w:val="en-US"/>
        </w:rPr>
        <w:t xml:space="preserve">, E. </w:t>
      </w:r>
      <w:proofErr w:type="spellStart"/>
      <w:r w:rsidRPr="00B30FE4">
        <w:rPr>
          <w:rFonts w:ascii="Times New Roman" w:hAnsi="Times New Roman" w:cs="Times New Roman"/>
          <w:sz w:val="24"/>
          <w:szCs w:val="24"/>
          <w:lang w:val="en-US"/>
        </w:rPr>
        <w:t>Feder-Sempach</w:t>
      </w:r>
      <w:proofErr w:type="spellEnd"/>
      <w:r w:rsidRPr="00B30FE4">
        <w:rPr>
          <w:rFonts w:ascii="Times New Roman" w:hAnsi="Times New Roman" w:cs="Times New Roman"/>
          <w:sz w:val="24"/>
          <w:szCs w:val="24"/>
          <w:lang w:val="en-US"/>
        </w:rPr>
        <w:t>, 2012: 90-102)</w:t>
      </w:r>
      <w:r>
        <w:rPr>
          <w:rFonts w:ascii="Times New Roman" w:hAnsi="Times New Roman" w:cs="Times New Roman"/>
          <w:sz w:val="24"/>
          <w:szCs w:val="24"/>
          <w:lang w:val="en-US"/>
        </w:rPr>
        <w:t xml:space="preserve">. </w:t>
      </w:r>
      <w:r w:rsidRPr="00B30FE4">
        <w:rPr>
          <w:rFonts w:ascii="Times New Roman" w:hAnsi="Times New Roman" w:cs="Times New Roman"/>
          <w:sz w:val="24"/>
          <w:szCs w:val="24"/>
          <w:lang w:val="en-US"/>
        </w:rPr>
        <w:t xml:space="preserve">This method is based on the use of a moving average of the rate of return from the market index in the period t </w:t>
      </w:r>
      <w:r w:rsidRPr="00725A57">
        <w:rPr>
          <w:rFonts w:ascii="Times New Roman" w:hAnsi="Times New Roman" w:cs="Times New Roman"/>
          <w:sz w:val="24"/>
          <w:szCs w:val="24"/>
          <w:lang w:val="en-US"/>
        </w:rPr>
        <w:t>(</w:t>
      </w:r>
      <m:oMath>
        <m:sSub>
          <m:sSubPr>
            <m:ctrlPr>
              <w:rPr>
                <w:rFonts w:ascii="Cambria Math" w:hAnsi="Cambria Math" w:cs="Times New Roman"/>
                <w:i/>
                <w:sz w:val="24"/>
                <w:szCs w:val="24"/>
              </w:rPr>
            </m:ctrlPr>
          </m:sSubPr>
          <m:e>
            <m:r>
              <w:rPr>
                <w:rFonts w:ascii="Cambria Math" w:hAnsi="Cambria Math" w:cs="Times New Roman"/>
                <w:sz w:val="24"/>
                <w:szCs w:val="24"/>
              </w:rPr>
              <m:t>rm</m:t>
            </m:r>
          </m:e>
          <m:sub>
            <m:r>
              <w:rPr>
                <w:rFonts w:ascii="Cambria Math" w:hAnsi="Cambria Math" w:cs="Times New Roman"/>
                <w:sz w:val="24"/>
                <w:szCs w:val="24"/>
              </w:rPr>
              <m:t>t</m:t>
            </m:r>
          </m:sub>
        </m:sSub>
      </m:oMath>
      <w:r w:rsidRPr="00725A57">
        <w:rPr>
          <w:rFonts w:ascii="Times New Roman" w:hAnsi="Times New Roman" w:cs="Times New Roman"/>
          <w:sz w:val="24"/>
          <w:szCs w:val="24"/>
          <w:lang w:val="en-US"/>
        </w:rPr>
        <w:t xml:space="preserve">). </w:t>
      </w:r>
      <w:r w:rsidRPr="00B30FE4">
        <w:rPr>
          <w:rFonts w:ascii="Times New Roman" w:hAnsi="Times New Roman" w:cs="Times New Roman"/>
          <w:sz w:val="24"/>
          <w:szCs w:val="24"/>
          <w:lang w:val="en-US"/>
        </w:rPr>
        <w:t>This method identifies two moments which are peak and trough. The peak in the period (t) is defined when:</w:t>
      </w:r>
    </w:p>
    <w:p w14:paraId="43B84763" w14:textId="77777777" w:rsidR="00F471ED" w:rsidRPr="00747B41" w:rsidRDefault="00F031A2" w:rsidP="00747B41">
      <w:pPr>
        <w:ind w:firstLine="426"/>
        <w:contextualSpacing/>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m:t>
                  </m:r>
                </m:e>
                <m:sub>
                  <m:r>
                    <w:rPr>
                      <w:rFonts w:ascii="Cambria Math" w:hAnsi="Cambria Math" w:cs="Times New Roman"/>
                      <w:sz w:val="24"/>
                      <w:szCs w:val="24"/>
                    </w:rPr>
                    <m:t>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m:t>
                  </m:r>
                </m:e>
                <m:sub>
                  <m:r>
                    <w:rPr>
                      <w:rFonts w:ascii="Cambria Math" w:hAnsi="Cambria Math" w:cs="Times New Roman"/>
                      <w:sz w:val="24"/>
                      <w:szCs w:val="24"/>
                    </w:rPr>
                    <m:t>t-1</m:t>
                  </m:r>
                </m:sub>
              </m:sSub>
            </m:e>
          </m:d>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rm</m:t>
              </m:r>
            </m:e>
            <m:sub>
              <m:r>
                <w:rPr>
                  <w:rFonts w:ascii="Cambria Math" w:hAnsi="Cambria Math" w:cs="Times New Roman"/>
                  <w:sz w:val="24"/>
                  <w:szCs w:val="24"/>
                </w:rPr>
                <m:t>t</m:t>
              </m:r>
            </m:sub>
          </m:sSub>
          <m:r>
            <w:rPr>
              <w:rFonts w:ascii="Cambria Math" w:hAnsi="Cambria Math" w:cs="Times New Roman"/>
              <w:sz w:val="24"/>
              <w:szCs w:val="24"/>
            </w:rPr>
            <m:t>&gt;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m:t>
                  </m:r>
                </m:e>
                <m:sub>
                  <m:r>
                    <w:rPr>
                      <w:rFonts w:ascii="Cambria Math" w:hAnsi="Cambria Math" w:cs="Times New Roman"/>
                      <w:sz w:val="24"/>
                      <w:szCs w:val="24"/>
                    </w:rPr>
                    <m:t>t+2</m:t>
                  </m:r>
                </m:sub>
              </m:sSub>
            </m:e>
          </m:d>
        </m:oMath>
      </m:oMathPara>
    </w:p>
    <w:p w14:paraId="7AF7D108" w14:textId="77777777" w:rsidR="00747B41" w:rsidRPr="0055426B" w:rsidRDefault="00747B41" w:rsidP="00747B41">
      <w:pPr>
        <w:ind w:firstLine="426"/>
        <w:contextualSpacing/>
        <w:jc w:val="both"/>
        <w:rPr>
          <w:rFonts w:ascii="Times New Roman" w:hAnsi="Times New Roman" w:cs="Times New Roman"/>
          <w:sz w:val="24"/>
          <w:szCs w:val="24"/>
        </w:rPr>
      </w:pPr>
    </w:p>
    <w:p w14:paraId="101B28CE" w14:textId="14FFFD8D" w:rsidR="00747B41" w:rsidRDefault="00F471ED" w:rsidP="00FD59B3">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and a trough in the period (t) when:</w:t>
      </w:r>
    </w:p>
    <w:p w14:paraId="42B65258" w14:textId="77777777" w:rsidR="00F471ED" w:rsidRPr="00747B41" w:rsidRDefault="00F031A2" w:rsidP="00747B41">
      <w:pPr>
        <w:ind w:firstLine="426"/>
        <w:contextualSpacing/>
        <w:jc w:val="both"/>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m:t>
                  </m:r>
                </m:e>
                <m:sub>
                  <m:r>
                    <w:rPr>
                      <w:rFonts w:ascii="Cambria Math" w:hAnsi="Cambria Math" w:cs="Times New Roman"/>
                      <w:sz w:val="24"/>
                      <w:szCs w:val="24"/>
                    </w:rPr>
                    <m:t>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m:t>
                  </m:r>
                </m:e>
                <m:sub>
                  <m:r>
                    <w:rPr>
                      <w:rFonts w:ascii="Cambria Math" w:hAnsi="Cambria Math" w:cs="Times New Roman"/>
                      <w:sz w:val="24"/>
                      <w:szCs w:val="24"/>
                    </w:rPr>
                    <m:t>t-1</m:t>
                  </m:r>
                </m:sub>
              </m:sSub>
            </m:e>
          </m:d>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rm</m:t>
              </m:r>
            </m:e>
            <m:sub>
              <m:r>
                <w:rPr>
                  <w:rFonts w:ascii="Cambria Math" w:hAnsi="Cambria Math" w:cs="Times New Roman"/>
                  <w:sz w:val="24"/>
                  <w:szCs w:val="24"/>
                </w:rPr>
                <m:t>t</m:t>
              </m:r>
            </m:sub>
          </m:sSub>
          <m:r>
            <w:rPr>
              <w:rFonts w:ascii="Cambria Math" w:hAnsi="Cambria Math" w:cs="Times New Roman"/>
              <w:sz w:val="24"/>
              <w:szCs w:val="24"/>
            </w:rPr>
            <m:t>&lt;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m:t>
                  </m:r>
                </m:e>
                <m:sub>
                  <m:r>
                    <w:rPr>
                      <w:rFonts w:ascii="Cambria Math" w:hAnsi="Cambria Math" w:cs="Times New Roman"/>
                      <w:sz w:val="24"/>
                      <w:szCs w:val="24"/>
                    </w:rPr>
                    <m:t>t+2</m:t>
                  </m:r>
                </m:sub>
              </m:sSub>
            </m:e>
          </m:d>
        </m:oMath>
      </m:oMathPara>
    </w:p>
    <w:p w14:paraId="7CF914EA" w14:textId="77777777" w:rsidR="00747B41" w:rsidRPr="0055426B" w:rsidRDefault="00747B41" w:rsidP="00747B41">
      <w:pPr>
        <w:ind w:firstLine="426"/>
        <w:contextualSpacing/>
        <w:jc w:val="both"/>
        <w:rPr>
          <w:rFonts w:ascii="Times New Roman" w:hAnsi="Times New Roman" w:cs="Times New Roman"/>
          <w:sz w:val="24"/>
          <w:szCs w:val="24"/>
        </w:rPr>
      </w:pPr>
    </w:p>
    <w:p w14:paraId="6781C2F2" w14:textId="77777777" w:rsidR="00F471ED" w:rsidRPr="00B30FE4" w:rsidRDefault="00F471ED"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After identifying the peak and the trough</w:t>
      </w:r>
      <w:r>
        <w:rPr>
          <w:rFonts w:ascii="Times New Roman" w:hAnsi="Times New Roman" w:cs="Times New Roman"/>
          <w:sz w:val="24"/>
          <w:szCs w:val="24"/>
          <w:lang w:val="en-US"/>
        </w:rPr>
        <w:t>,</w:t>
      </w:r>
      <w:r w:rsidRPr="00B30FE4">
        <w:rPr>
          <w:rFonts w:ascii="Times New Roman" w:hAnsi="Times New Roman" w:cs="Times New Roman"/>
          <w:sz w:val="24"/>
          <w:szCs w:val="24"/>
          <w:lang w:val="en-US"/>
        </w:rPr>
        <w:t xml:space="preserve"> the period between the trough and the peak is classified as a bull market and the period between the peak and the trough as a bear market (</w:t>
      </w:r>
      <w:proofErr w:type="spellStart"/>
      <w:r w:rsidRPr="00B30FE4">
        <w:rPr>
          <w:rFonts w:ascii="Times New Roman" w:hAnsi="Times New Roman" w:cs="Times New Roman"/>
          <w:sz w:val="24"/>
          <w:szCs w:val="24"/>
          <w:lang w:val="en-US"/>
        </w:rPr>
        <w:t>Bhaduri</w:t>
      </w:r>
      <w:proofErr w:type="spellEnd"/>
      <w:r w:rsidRPr="00B30FE4">
        <w:rPr>
          <w:rFonts w:ascii="Times New Roman" w:hAnsi="Times New Roman" w:cs="Times New Roman"/>
          <w:sz w:val="24"/>
          <w:szCs w:val="24"/>
          <w:lang w:val="en-US"/>
        </w:rPr>
        <w:t xml:space="preserve">, </w:t>
      </w:r>
      <w:proofErr w:type="spellStart"/>
      <w:r w:rsidRPr="00B30FE4">
        <w:rPr>
          <w:rFonts w:ascii="Times New Roman" w:hAnsi="Times New Roman" w:cs="Times New Roman"/>
          <w:sz w:val="24"/>
          <w:szCs w:val="24"/>
          <w:lang w:val="en-US"/>
        </w:rPr>
        <w:t>Durai</w:t>
      </w:r>
      <w:proofErr w:type="spellEnd"/>
      <w:r w:rsidRPr="00B30FE4">
        <w:rPr>
          <w:rFonts w:ascii="Times New Roman" w:hAnsi="Times New Roman" w:cs="Times New Roman"/>
          <w:sz w:val="24"/>
          <w:szCs w:val="24"/>
          <w:lang w:val="en-US"/>
        </w:rPr>
        <w:t>, 2006: 57).</w:t>
      </w:r>
    </w:p>
    <w:p w14:paraId="5FCDFA26" w14:textId="2ABA9906" w:rsidR="007E62DA" w:rsidRDefault="00F471ED" w:rsidP="00747B41">
      <w:pPr>
        <w:ind w:firstLine="42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This method</w:t>
      </w:r>
      <w:r w:rsidR="0055426B" w:rsidRPr="00B30FE4">
        <w:rPr>
          <w:rFonts w:ascii="Times New Roman" w:hAnsi="Times New Roman" w:cs="Times New Roman"/>
          <w:sz w:val="24"/>
          <w:szCs w:val="24"/>
          <w:lang w:val="en-US"/>
        </w:rPr>
        <w:t xml:space="preserve"> is often used in empirical studies and meets some of the assumptions made by the above-mentioned Pagan and </w:t>
      </w:r>
      <w:proofErr w:type="spellStart"/>
      <w:r w:rsidR="0055426B" w:rsidRPr="00B30FE4">
        <w:rPr>
          <w:rFonts w:ascii="Times New Roman" w:hAnsi="Times New Roman" w:cs="Times New Roman"/>
          <w:sz w:val="24"/>
          <w:szCs w:val="24"/>
          <w:lang w:val="en-US"/>
        </w:rPr>
        <w:t>Sossounov</w:t>
      </w:r>
      <w:proofErr w:type="spellEnd"/>
      <w:r w:rsidR="0055426B" w:rsidRPr="00B30FE4">
        <w:rPr>
          <w:rFonts w:ascii="Times New Roman" w:hAnsi="Times New Roman" w:cs="Times New Roman"/>
          <w:sz w:val="24"/>
          <w:szCs w:val="24"/>
          <w:lang w:val="en-US"/>
        </w:rPr>
        <w:t xml:space="preserve">. The division was made according to the method based on the points of intersection of the 14-day moving average with </w:t>
      </w:r>
      <w:r w:rsidR="007718D5">
        <w:rPr>
          <w:rFonts w:ascii="Times New Roman" w:hAnsi="Times New Roman" w:cs="Times New Roman"/>
          <w:sz w:val="24"/>
          <w:szCs w:val="24"/>
          <w:lang w:val="en-US"/>
        </w:rPr>
        <w:t>t</w:t>
      </w:r>
      <w:r w:rsidR="0055426B" w:rsidRPr="00B30FE4">
        <w:rPr>
          <w:rFonts w:ascii="Times New Roman" w:hAnsi="Times New Roman" w:cs="Times New Roman"/>
          <w:sz w:val="24"/>
          <w:szCs w:val="24"/>
          <w:lang w:val="en-US"/>
        </w:rPr>
        <w:t>he WIG stock exchange index, which is shown in Figure 1. There was adopted a 14-day moving average because it most fully reflects changes in the WIG index in the studied period.</w:t>
      </w:r>
    </w:p>
    <w:p w14:paraId="168DDF38" w14:textId="77777777" w:rsidR="00747B41" w:rsidRPr="00B30FE4" w:rsidRDefault="00747B41" w:rsidP="00747B41">
      <w:pPr>
        <w:ind w:firstLine="426"/>
        <w:contextualSpacing/>
        <w:jc w:val="both"/>
        <w:rPr>
          <w:rFonts w:ascii="Times New Roman" w:hAnsi="Times New Roman" w:cs="Times New Roman"/>
          <w:sz w:val="24"/>
          <w:szCs w:val="24"/>
          <w:lang w:val="en-US"/>
        </w:rPr>
      </w:pPr>
    </w:p>
    <w:p w14:paraId="432FA9B2" w14:textId="77777777" w:rsidR="00747B41" w:rsidRPr="00B30FE4" w:rsidRDefault="00747B41" w:rsidP="00747B41">
      <w:pPr>
        <w:spacing w:after="0" w:line="360" w:lineRule="auto"/>
        <w:contextualSpacing/>
        <w:jc w:val="center"/>
        <w:rPr>
          <w:rFonts w:ascii="Times New Roman" w:hAnsi="Times New Roman" w:cs="Times New Roman"/>
          <w:sz w:val="24"/>
          <w:szCs w:val="24"/>
          <w:lang w:val="en-US"/>
        </w:rPr>
      </w:pPr>
      <w:r w:rsidRPr="00B30FE4">
        <w:rPr>
          <w:rFonts w:ascii="Times New Roman" w:hAnsi="Times New Roman" w:cs="Times New Roman"/>
          <w:sz w:val="24"/>
          <w:szCs w:val="24"/>
          <w:lang w:val="en-US"/>
        </w:rPr>
        <w:t>Fig. 1. Warsaw Stock Exchange Index (WIG) in 2005 – 2015 and 14-day moving average</w:t>
      </w:r>
    </w:p>
    <w:p w14:paraId="065B803D" w14:textId="77777777" w:rsidR="0055426B" w:rsidRPr="00B30FE4" w:rsidRDefault="0055426B" w:rsidP="00747B41">
      <w:pPr>
        <w:spacing w:after="0" w:line="360" w:lineRule="auto"/>
        <w:contextualSpacing/>
        <w:jc w:val="both"/>
        <w:outlineLvl w:val="1"/>
        <w:rPr>
          <w:rFonts w:ascii="Times New Roman" w:eastAsia="Times New Roman" w:hAnsi="Times New Roman" w:cs="Times New Roman"/>
          <w:sz w:val="24"/>
          <w:szCs w:val="24"/>
          <w:lang w:val="en-US" w:eastAsia="pl-PL"/>
        </w:rPr>
      </w:pPr>
      <w:r w:rsidRPr="00B30FE4">
        <w:rPr>
          <w:rFonts w:ascii="Times New Roman" w:eastAsia="Times New Roman" w:hAnsi="Times New Roman" w:cs="Times New Roman"/>
          <w:noProof/>
          <w:sz w:val="24"/>
          <w:szCs w:val="24"/>
          <w:lang w:eastAsia="pl-PL"/>
        </w:rPr>
        <w:drawing>
          <wp:inline distT="0" distB="0" distL="0" distR="0" wp14:anchorId="601281F9" wp14:editId="41111F59">
            <wp:extent cx="5760720" cy="2455931"/>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559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BCB47E4" w14:textId="76FA5451" w:rsidR="003757DC" w:rsidRPr="00FD59B3" w:rsidRDefault="007808BC" w:rsidP="00FD59B3">
      <w:pPr>
        <w:pStyle w:val="Legenda"/>
        <w:contextualSpacing/>
        <w:rPr>
          <w:rFonts w:ascii="Times New Roman" w:hAnsi="Times New Roman" w:cs="Times New Roman"/>
          <w:b w:val="0"/>
          <w:color w:val="auto"/>
          <w:sz w:val="20"/>
          <w:lang w:val="en-US"/>
        </w:rPr>
      </w:pPr>
      <w:r w:rsidRPr="00747B41">
        <w:rPr>
          <w:rFonts w:ascii="Times New Roman" w:hAnsi="Times New Roman" w:cs="Times New Roman"/>
          <w:b w:val="0"/>
          <w:color w:val="auto"/>
          <w:sz w:val="20"/>
          <w:lang w:val="en-US"/>
        </w:rPr>
        <w:lastRenderedPageBreak/>
        <w:t>Source: own calculations in Thomson Reuters application.</w:t>
      </w:r>
    </w:p>
    <w:p w14:paraId="0797656B" w14:textId="137B29AC" w:rsidR="00DD5792" w:rsidRDefault="003757DC"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 xml:space="preserve">According to accepted definition periods </w:t>
      </w:r>
      <w:r w:rsidR="00F471ED">
        <w:rPr>
          <w:rFonts w:ascii="Times New Roman" w:hAnsi="Times New Roman" w:cs="Times New Roman"/>
          <w:sz w:val="24"/>
          <w:szCs w:val="24"/>
          <w:lang w:val="en-US"/>
        </w:rPr>
        <w:t xml:space="preserve">classified as a bull market </w:t>
      </w:r>
      <w:r w:rsidR="00487FC6">
        <w:rPr>
          <w:rFonts w:ascii="Times New Roman" w:hAnsi="Times New Roman" w:cs="Times New Roman"/>
          <w:sz w:val="24"/>
          <w:szCs w:val="24"/>
          <w:lang w:val="en-US"/>
        </w:rPr>
        <w:t xml:space="preserve">gave us </w:t>
      </w:r>
      <w:r w:rsidR="00FD59B3">
        <w:rPr>
          <w:rFonts w:ascii="Times New Roman" w:hAnsi="Times New Roman" w:cs="Times New Roman"/>
          <w:sz w:val="24"/>
          <w:szCs w:val="24"/>
          <w:lang w:val="en-US"/>
        </w:rPr>
        <w:t xml:space="preserve">99 observations, </w:t>
      </w:r>
      <w:r w:rsidR="0055426B" w:rsidRPr="00B30FE4">
        <w:rPr>
          <w:rFonts w:ascii="Times New Roman" w:hAnsi="Times New Roman" w:cs="Times New Roman"/>
          <w:sz w:val="24"/>
          <w:szCs w:val="24"/>
          <w:lang w:val="en-US"/>
        </w:rPr>
        <w:t>while periods c</w:t>
      </w:r>
      <w:r w:rsidR="00F471ED">
        <w:rPr>
          <w:rFonts w:ascii="Times New Roman" w:hAnsi="Times New Roman" w:cs="Times New Roman"/>
          <w:sz w:val="24"/>
          <w:szCs w:val="24"/>
          <w:lang w:val="en-US"/>
        </w:rPr>
        <w:t xml:space="preserve">lassified as a bear market </w:t>
      </w:r>
      <w:r w:rsidR="00FD59B3">
        <w:rPr>
          <w:rFonts w:ascii="Times New Roman" w:hAnsi="Times New Roman" w:cs="Times New Roman"/>
          <w:sz w:val="24"/>
          <w:szCs w:val="24"/>
          <w:lang w:val="en-US"/>
        </w:rPr>
        <w:t>31 observations.</w:t>
      </w:r>
    </w:p>
    <w:p w14:paraId="7AA44A0B" w14:textId="77777777" w:rsidR="00747B41" w:rsidRPr="00F471ED" w:rsidRDefault="00747B41" w:rsidP="00747B41">
      <w:pPr>
        <w:ind w:firstLine="426"/>
        <w:contextualSpacing/>
        <w:jc w:val="both"/>
        <w:rPr>
          <w:rFonts w:ascii="Times New Roman" w:hAnsi="Times New Roman" w:cs="Times New Roman"/>
          <w:sz w:val="24"/>
          <w:szCs w:val="24"/>
          <w:lang w:val="en-US"/>
        </w:rPr>
      </w:pPr>
    </w:p>
    <w:p w14:paraId="0DC9C5F4" w14:textId="77777777" w:rsidR="00A01E20" w:rsidRDefault="00A01E20" w:rsidP="00747B41">
      <w:pPr>
        <w:contextualSpacing/>
        <w:jc w:val="both"/>
        <w:rPr>
          <w:rFonts w:ascii="Times New Roman" w:hAnsi="Times New Roman" w:cs="Times New Roman"/>
          <w:b/>
          <w:sz w:val="28"/>
          <w:szCs w:val="28"/>
          <w:lang w:val="en-US"/>
        </w:rPr>
      </w:pPr>
      <w:r w:rsidRPr="00B30FE4">
        <w:rPr>
          <w:rFonts w:ascii="Times New Roman" w:hAnsi="Times New Roman" w:cs="Times New Roman"/>
          <w:b/>
          <w:sz w:val="28"/>
          <w:szCs w:val="28"/>
          <w:lang w:val="en-US"/>
        </w:rPr>
        <w:t>4. Discussion on the obtained results of the empirical research</w:t>
      </w:r>
    </w:p>
    <w:p w14:paraId="1381480B" w14:textId="77777777" w:rsidR="00747B41" w:rsidRPr="00B30FE4" w:rsidRDefault="00747B41" w:rsidP="00747B41">
      <w:pPr>
        <w:contextualSpacing/>
        <w:jc w:val="both"/>
        <w:rPr>
          <w:rFonts w:ascii="Times New Roman" w:hAnsi="Times New Roman" w:cs="Times New Roman"/>
          <w:sz w:val="28"/>
          <w:szCs w:val="28"/>
          <w:lang w:val="en-US"/>
        </w:rPr>
      </w:pPr>
    </w:p>
    <w:p w14:paraId="10BBE4A1" w14:textId="1505BEAE" w:rsidR="00145FAF" w:rsidRPr="00B30FE4" w:rsidRDefault="00262FB3"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 xml:space="preserve">As </w:t>
      </w:r>
      <w:r w:rsidR="00B30FE4" w:rsidRPr="00B30FE4">
        <w:rPr>
          <w:rFonts w:ascii="Times New Roman" w:hAnsi="Times New Roman" w:cs="Times New Roman"/>
          <w:sz w:val="24"/>
          <w:szCs w:val="24"/>
          <w:lang w:val="en-US"/>
        </w:rPr>
        <w:t>written</w:t>
      </w:r>
      <w:r w:rsidRPr="00B30FE4">
        <w:rPr>
          <w:rFonts w:ascii="Times New Roman" w:hAnsi="Times New Roman" w:cs="Times New Roman"/>
          <w:sz w:val="24"/>
          <w:szCs w:val="24"/>
          <w:lang w:val="en-US"/>
        </w:rPr>
        <w:t> in the introduction in the first place objects of study are the basic statistical properties of the monthly logarithmic rate of return from shares of 131 companies listed on the Stock Exchange in Warsaw in the period 2005-2015 (the end of the third quarter). These properties were investigated by calculating basic descriptive statistics, which are: arithmetic average</w:t>
      </w:r>
      <w:r w:rsidR="00CE239D">
        <w:rPr>
          <w:rFonts w:ascii="Times New Roman" w:hAnsi="Times New Roman" w:cs="Times New Roman"/>
          <w:sz w:val="24"/>
          <w:szCs w:val="24"/>
          <w:lang w:val="en-US"/>
        </w:rPr>
        <w:t xml:space="preserve"> </w:t>
      </w:r>
      <w:r w:rsidR="00CE239D" w:rsidRPr="00CE239D">
        <w:rPr>
          <w:rFonts w:ascii="Times New Roman" w:hAnsi="Times New Roman" w:cs="Times New Roman"/>
          <w:sz w:val="24"/>
          <w:szCs w:val="24"/>
          <w:lang w:val="en-US"/>
        </w:rPr>
        <w:t>(</w:t>
      </w:r>
      <m:oMath>
        <m:acc>
          <m:accPr>
            <m:chr m:val="̅"/>
            <m:ctrlPr>
              <w:rPr>
                <w:rFonts w:ascii="Cambria Math" w:eastAsia="Times New Roman" w:hAnsi="Cambria Math" w:cs="Times New Roman"/>
                <w:i/>
                <w:color w:val="000000"/>
                <w:lang w:eastAsia="pl-PL"/>
              </w:rPr>
            </m:ctrlPr>
          </m:accPr>
          <m:e>
            <m:r>
              <w:rPr>
                <w:rFonts w:ascii="Cambria Math" w:eastAsia="Times New Roman" w:hAnsi="Cambria Math" w:cs="Times New Roman"/>
                <w:color w:val="000000"/>
                <w:lang w:eastAsia="pl-PL"/>
              </w:rPr>
              <m:t>R</m:t>
            </m:r>
          </m:e>
        </m:acc>
      </m:oMath>
      <w:r w:rsidR="00CE239D" w:rsidRPr="00CE239D">
        <w:rPr>
          <w:rFonts w:ascii="Times New Roman" w:hAnsi="Times New Roman" w:cs="Times New Roman"/>
          <w:sz w:val="24"/>
          <w:szCs w:val="24"/>
          <w:lang w:val="en-US"/>
        </w:rPr>
        <w:t xml:space="preserve">), </w:t>
      </w:r>
      <w:r w:rsidRPr="00B30FE4">
        <w:rPr>
          <w:rFonts w:ascii="Times New Roman" w:hAnsi="Times New Roman" w:cs="Times New Roman"/>
          <w:sz w:val="24"/>
          <w:szCs w:val="24"/>
          <w:lang w:val="en-US"/>
        </w:rPr>
        <w:t>standard deviation (S), semi-standard deviation (SS), skewness (A) and kurtosis (K). Subsequently the normality of logarithmic distribution of the monthly rate of return of surveyed companies and stationarity of its time series was subjected to statistical verification as well as hypotheses relating to the alignment of the rate of return of surveyed company to zero and the rate of return of the corresponding stock index and whether there is a statistically significant difference between the volatility of the rate of return of a given company and the volatility of the stock index rate of return</w:t>
      </w:r>
      <w:r w:rsidR="00CD336E">
        <w:rPr>
          <w:rStyle w:val="Odwoanieprzypisudolnego"/>
          <w:rFonts w:ascii="Times New Roman" w:hAnsi="Times New Roman" w:cs="Times New Roman"/>
          <w:sz w:val="24"/>
          <w:szCs w:val="24"/>
          <w:lang w:val="en-US"/>
        </w:rPr>
        <w:footnoteReference w:id="3"/>
      </w:r>
      <w:r w:rsidRPr="00B30FE4">
        <w:rPr>
          <w:rFonts w:ascii="Times New Roman" w:hAnsi="Times New Roman" w:cs="Times New Roman"/>
          <w:sz w:val="24"/>
          <w:szCs w:val="24"/>
          <w:lang w:val="en-US"/>
        </w:rPr>
        <w:t>. These calculations were made in the division of companies to indicated earlier indices defined by the Warsaw Stock Exchange.</w:t>
      </w:r>
    </w:p>
    <w:p w14:paraId="133EB6CE" w14:textId="77777777" w:rsidR="00145FAF" w:rsidRPr="00B30FE4" w:rsidRDefault="00145FAF" w:rsidP="00747B41">
      <w:pPr>
        <w:ind w:firstLine="567"/>
        <w:contextualSpacing/>
        <w:jc w:val="both"/>
        <w:rPr>
          <w:rFonts w:ascii="Times New Roman" w:hAnsi="Times New Roman" w:cs="Times New Roman"/>
          <w:sz w:val="24"/>
          <w:szCs w:val="24"/>
          <w:lang w:val="en-US"/>
        </w:rPr>
      </w:pPr>
    </w:p>
    <w:p w14:paraId="67F7A6CB" w14:textId="5E954158" w:rsidR="00145FAF" w:rsidRPr="00B30FE4" w:rsidRDefault="00145FAF" w:rsidP="00747B41">
      <w:pPr>
        <w:contextualSpacing/>
        <w:jc w:val="both"/>
        <w:rPr>
          <w:rFonts w:ascii="Times New Roman" w:hAnsi="Times New Roman" w:cs="Times New Roman"/>
          <w:sz w:val="24"/>
          <w:szCs w:val="24"/>
          <w:lang w:val="en-US"/>
        </w:rPr>
      </w:pPr>
      <w:r w:rsidRPr="00B30FE4">
        <w:rPr>
          <w:rFonts w:ascii="Times New Roman" w:hAnsi="Times New Roman" w:cs="Times New Roman"/>
          <w:b/>
          <w:sz w:val="24"/>
          <w:szCs w:val="24"/>
          <w:lang w:val="en-US"/>
        </w:rPr>
        <w:t xml:space="preserve">4.1. Results relating to the </w:t>
      </w:r>
      <w:r w:rsidR="005A454C">
        <w:rPr>
          <w:rFonts w:ascii="Times New Roman" w:hAnsi="Times New Roman" w:cs="Times New Roman"/>
          <w:b/>
          <w:sz w:val="24"/>
          <w:szCs w:val="24"/>
          <w:lang w:val="en-US"/>
        </w:rPr>
        <w:t>whole sample</w:t>
      </w:r>
    </w:p>
    <w:p w14:paraId="22C6AF29" w14:textId="4AF8AD64" w:rsidR="0046609B" w:rsidRPr="00B30FE4" w:rsidRDefault="00145FAF"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 xml:space="preserve">Values of descriptive statistics of the rates of return from the shares of companies classified as the WIG20 index portfolio (12 </w:t>
      </w:r>
      <w:r w:rsidR="0089231D" w:rsidRPr="00B30FE4">
        <w:rPr>
          <w:rFonts w:ascii="Times New Roman" w:hAnsi="Times New Roman" w:cs="Times New Roman"/>
          <w:sz w:val="24"/>
          <w:szCs w:val="24"/>
          <w:lang w:val="en-US"/>
        </w:rPr>
        <w:t>companies</w:t>
      </w:r>
      <w:r w:rsidRPr="00B30FE4">
        <w:rPr>
          <w:rFonts w:ascii="Times New Roman" w:hAnsi="Times New Roman" w:cs="Times New Roman"/>
          <w:sz w:val="24"/>
          <w:szCs w:val="24"/>
          <w:lang w:val="en-US"/>
        </w:rPr>
        <w:t>) are shown in Table 1. As it is known to this index there are included companies with the largest market capitalization from the Warsaw Stock Exchange.</w:t>
      </w:r>
    </w:p>
    <w:p w14:paraId="3B3A8393" w14:textId="0E694CC0" w:rsidR="000E5092" w:rsidRDefault="00B30FE4" w:rsidP="00747B41">
      <w:pPr>
        <w:pStyle w:val="Legenda"/>
        <w:keepNext/>
        <w:contextualSpacing/>
        <w:jc w:val="center"/>
        <w:rPr>
          <w:rFonts w:ascii="Times New Roman" w:eastAsia="Times New Roman" w:hAnsi="Times New Roman" w:cs="Times New Roman"/>
          <w:b w:val="0"/>
          <w:color w:val="000000"/>
          <w:sz w:val="24"/>
          <w:szCs w:val="24"/>
          <w:lang w:val="en-US" w:eastAsia="pl-PL"/>
        </w:rPr>
      </w:pPr>
      <w:r>
        <w:rPr>
          <w:rFonts w:ascii="Times New Roman" w:eastAsia="Times New Roman" w:hAnsi="Times New Roman" w:cs="Times New Roman"/>
          <w:b w:val="0"/>
          <w:color w:val="000000"/>
          <w:sz w:val="24"/>
          <w:szCs w:val="24"/>
          <w:lang w:val="en-US" w:eastAsia="pl-PL"/>
        </w:rPr>
        <w:t>Table 1.</w:t>
      </w:r>
      <w:r w:rsidR="000E5092" w:rsidRPr="00B30FE4">
        <w:rPr>
          <w:rFonts w:ascii="Times New Roman" w:eastAsia="Times New Roman" w:hAnsi="Times New Roman" w:cs="Times New Roman"/>
          <w:b w:val="0"/>
          <w:color w:val="000000"/>
          <w:sz w:val="24"/>
          <w:szCs w:val="24"/>
          <w:lang w:val="en-US" w:eastAsia="pl-PL"/>
        </w:rPr>
        <w:t xml:space="preserve">  Descriptive statistics of </w:t>
      </w:r>
      <w:r w:rsidR="00FB34DA">
        <w:rPr>
          <w:rFonts w:ascii="Times New Roman" w:eastAsia="Times New Roman" w:hAnsi="Times New Roman" w:cs="Times New Roman"/>
          <w:b w:val="0"/>
          <w:color w:val="000000"/>
          <w:sz w:val="24"/>
          <w:szCs w:val="24"/>
          <w:lang w:val="en-US" w:eastAsia="pl-PL"/>
        </w:rPr>
        <w:t>the rates of return</w:t>
      </w:r>
      <w:r w:rsidR="000E5092" w:rsidRPr="00B30FE4">
        <w:rPr>
          <w:rFonts w:ascii="Times New Roman" w:eastAsia="Times New Roman" w:hAnsi="Times New Roman" w:cs="Times New Roman"/>
          <w:b w:val="0"/>
          <w:color w:val="000000"/>
          <w:sz w:val="24"/>
          <w:szCs w:val="24"/>
          <w:lang w:val="en-US" w:eastAsia="pl-PL"/>
        </w:rPr>
        <w:t xml:space="preserve"> of the WIG20 index</w:t>
      </w:r>
      <w:r w:rsidR="001630DD" w:rsidRPr="00B30FE4">
        <w:rPr>
          <w:rFonts w:ascii="Times New Roman" w:eastAsia="Times New Roman" w:hAnsi="Times New Roman" w:cs="Times New Roman"/>
          <w:b w:val="0"/>
          <w:color w:val="000000"/>
          <w:sz w:val="24"/>
          <w:szCs w:val="24"/>
          <w:lang w:val="en-US" w:eastAsia="pl-PL"/>
        </w:rPr>
        <w:fldChar w:fldCharType="begin"/>
      </w:r>
      <w:r w:rsidR="001630DD" w:rsidRPr="00B30FE4">
        <w:rPr>
          <w:rFonts w:ascii="Times New Roman" w:eastAsia="Times New Roman" w:hAnsi="Times New Roman" w:cs="Times New Roman"/>
          <w:b w:val="0"/>
          <w:color w:val="000000"/>
          <w:sz w:val="24"/>
          <w:szCs w:val="24"/>
          <w:lang w:val="en-US" w:eastAsia="pl-PL"/>
        </w:rPr>
        <w:instrText xml:space="preserve"> SEQ Tabela \* ARABIC </w:instrText>
      </w:r>
      <w:r w:rsidR="001630DD" w:rsidRPr="00B30FE4">
        <w:rPr>
          <w:rFonts w:ascii="Times New Roman" w:eastAsia="Times New Roman" w:hAnsi="Times New Roman" w:cs="Times New Roman"/>
          <w:b w:val="0"/>
          <w:color w:val="000000"/>
          <w:sz w:val="24"/>
          <w:szCs w:val="24"/>
          <w:lang w:val="en-US" w:eastAsia="pl-PL"/>
        </w:rPr>
        <w:fldChar w:fldCharType="end"/>
      </w:r>
      <w:r w:rsidR="00741B5B" w:rsidRPr="00B30FE4">
        <w:rPr>
          <w:rFonts w:ascii="Times New Roman" w:eastAsia="Times New Roman" w:hAnsi="Times New Roman" w:cs="Times New Roman"/>
          <w:b w:val="0"/>
          <w:color w:val="000000"/>
          <w:sz w:val="24"/>
          <w:szCs w:val="24"/>
          <w:lang w:val="en-US" w:eastAsia="pl-PL"/>
        </w:rPr>
        <w:t xml:space="preserve"> </w:t>
      </w:r>
    </w:p>
    <w:tbl>
      <w:tblPr>
        <w:tblW w:w="5000" w:type="pct"/>
        <w:tblCellMar>
          <w:left w:w="70" w:type="dxa"/>
          <w:right w:w="70" w:type="dxa"/>
        </w:tblCellMar>
        <w:tblLook w:val="04A0" w:firstRow="1" w:lastRow="0" w:firstColumn="1" w:lastColumn="0" w:noHBand="0" w:noVBand="1"/>
      </w:tblPr>
      <w:tblGrid>
        <w:gridCol w:w="1619"/>
        <w:gridCol w:w="1071"/>
        <w:gridCol w:w="1134"/>
        <w:gridCol w:w="971"/>
        <w:gridCol w:w="1073"/>
        <w:gridCol w:w="1304"/>
        <w:gridCol w:w="1900"/>
      </w:tblGrid>
      <w:tr w:rsidR="00E043A8" w:rsidRPr="00D16895" w14:paraId="50AD2313" w14:textId="77777777" w:rsidTr="00E043A8">
        <w:trPr>
          <w:trHeight w:val="322"/>
        </w:trPr>
        <w:tc>
          <w:tcPr>
            <w:tcW w:w="895" w:type="pct"/>
            <w:tcBorders>
              <w:top w:val="double" w:sz="4" w:space="0" w:color="auto"/>
              <w:left w:val="nil"/>
              <w:bottom w:val="double" w:sz="4" w:space="0" w:color="auto"/>
              <w:right w:val="nil"/>
            </w:tcBorders>
            <w:shd w:val="clear" w:color="auto" w:fill="auto"/>
            <w:noWrap/>
            <w:vAlign w:val="bottom"/>
            <w:hideMark/>
          </w:tcPr>
          <w:p w14:paraId="4C51FE33"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Company</w:t>
            </w:r>
          </w:p>
        </w:tc>
        <w:tc>
          <w:tcPr>
            <w:tcW w:w="593" w:type="pct"/>
            <w:tcBorders>
              <w:top w:val="double" w:sz="4" w:space="0" w:color="auto"/>
              <w:left w:val="nil"/>
              <w:bottom w:val="double" w:sz="4" w:space="0" w:color="auto"/>
              <w:right w:val="nil"/>
            </w:tcBorders>
            <w:shd w:val="clear" w:color="auto" w:fill="auto"/>
            <w:noWrap/>
            <w:vAlign w:val="bottom"/>
            <w:hideMark/>
          </w:tcPr>
          <w:p w14:paraId="0091C379" w14:textId="77777777" w:rsidR="00E043A8" w:rsidRPr="00D16895" w:rsidRDefault="00F031A2" w:rsidP="00747B41">
            <w:pPr>
              <w:spacing w:after="0" w:line="240" w:lineRule="auto"/>
              <w:contextualSpacing/>
              <w:jc w:val="center"/>
              <w:rPr>
                <w:rFonts w:ascii="Times New Roman" w:eastAsia="Times New Roman" w:hAnsi="Times New Roman" w:cs="Times New Roman"/>
                <w:color w:val="000000"/>
                <w:lang w:val="en-US" w:eastAsia="pl-PL"/>
              </w:rPr>
            </w:pPr>
            <m:oMathPara>
              <m:oMath>
                <m:acc>
                  <m:accPr>
                    <m:chr m:val="̅"/>
                    <m:ctrlPr>
                      <w:rPr>
                        <w:rFonts w:ascii="Cambria Math" w:eastAsia="Times New Roman" w:hAnsi="Cambria Math" w:cs="Times New Roman"/>
                        <w:i/>
                        <w:color w:val="000000"/>
                        <w:lang w:val="en-US" w:eastAsia="pl-PL"/>
                      </w:rPr>
                    </m:ctrlPr>
                  </m:accPr>
                  <m:e>
                    <m:r>
                      <w:rPr>
                        <w:rFonts w:ascii="Cambria Math" w:eastAsia="Times New Roman" w:hAnsi="Cambria Math" w:cs="Times New Roman"/>
                        <w:color w:val="000000"/>
                        <w:lang w:val="en-US" w:eastAsia="pl-PL"/>
                      </w:rPr>
                      <m:t>R</m:t>
                    </m:r>
                  </m:e>
                </m:acc>
              </m:oMath>
            </m:oMathPara>
          </w:p>
        </w:tc>
        <w:tc>
          <w:tcPr>
            <w:tcW w:w="628" w:type="pct"/>
            <w:tcBorders>
              <w:top w:val="double" w:sz="4" w:space="0" w:color="auto"/>
              <w:left w:val="nil"/>
              <w:bottom w:val="double" w:sz="4" w:space="0" w:color="auto"/>
              <w:right w:val="nil"/>
            </w:tcBorders>
            <w:shd w:val="clear" w:color="auto" w:fill="auto"/>
            <w:noWrap/>
            <w:vAlign w:val="bottom"/>
            <w:hideMark/>
          </w:tcPr>
          <w:p w14:paraId="73049D5F"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S</w:t>
            </w:r>
          </w:p>
        </w:tc>
        <w:tc>
          <w:tcPr>
            <w:tcW w:w="538" w:type="pct"/>
            <w:tcBorders>
              <w:top w:val="double" w:sz="4" w:space="0" w:color="auto"/>
              <w:left w:val="nil"/>
              <w:bottom w:val="double" w:sz="4" w:space="0" w:color="auto"/>
              <w:right w:val="nil"/>
            </w:tcBorders>
            <w:shd w:val="clear" w:color="auto" w:fill="auto"/>
            <w:noWrap/>
            <w:vAlign w:val="bottom"/>
            <w:hideMark/>
          </w:tcPr>
          <w:p w14:paraId="131629FF"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SS</w:t>
            </w:r>
          </w:p>
        </w:tc>
        <w:tc>
          <w:tcPr>
            <w:tcW w:w="594" w:type="pct"/>
            <w:tcBorders>
              <w:top w:val="double" w:sz="4" w:space="0" w:color="auto"/>
              <w:left w:val="nil"/>
              <w:bottom w:val="double" w:sz="4" w:space="0" w:color="auto"/>
              <w:right w:val="nil"/>
            </w:tcBorders>
            <w:shd w:val="clear" w:color="auto" w:fill="auto"/>
            <w:noWrap/>
            <w:vAlign w:val="bottom"/>
            <w:hideMark/>
          </w:tcPr>
          <w:p w14:paraId="5455CA9E"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A</w:t>
            </w:r>
          </w:p>
        </w:tc>
        <w:tc>
          <w:tcPr>
            <w:tcW w:w="721" w:type="pct"/>
            <w:tcBorders>
              <w:top w:val="double" w:sz="4" w:space="0" w:color="auto"/>
              <w:left w:val="nil"/>
              <w:bottom w:val="double" w:sz="4" w:space="0" w:color="auto"/>
              <w:right w:val="nil"/>
            </w:tcBorders>
            <w:shd w:val="clear" w:color="auto" w:fill="auto"/>
            <w:noWrap/>
            <w:vAlign w:val="bottom"/>
            <w:hideMark/>
          </w:tcPr>
          <w:p w14:paraId="7A4AE4F7"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K</w:t>
            </w:r>
          </w:p>
        </w:tc>
        <w:tc>
          <w:tcPr>
            <w:tcW w:w="1031" w:type="pct"/>
            <w:tcBorders>
              <w:top w:val="double" w:sz="4" w:space="0" w:color="auto"/>
              <w:left w:val="nil"/>
              <w:bottom w:val="double" w:sz="4" w:space="0" w:color="auto"/>
              <w:right w:val="nil"/>
            </w:tcBorders>
            <w:shd w:val="clear" w:color="auto" w:fill="auto"/>
            <w:noWrap/>
            <w:vAlign w:val="bottom"/>
            <w:hideMark/>
          </w:tcPr>
          <w:p w14:paraId="263EC235"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Sector</w:t>
            </w:r>
          </w:p>
        </w:tc>
      </w:tr>
      <w:tr w:rsidR="00E043A8" w:rsidRPr="00D16895" w14:paraId="7DFD3992" w14:textId="77777777" w:rsidTr="00E043A8">
        <w:trPr>
          <w:trHeight w:val="322"/>
        </w:trPr>
        <w:tc>
          <w:tcPr>
            <w:tcW w:w="895" w:type="pct"/>
            <w:tcBorders>
              <w:top w:val="double" w:sz="4" w:space="0" w:color="auto"/>
              <w:left w:val="nil"/>
              <w:bottom w:val="single" w:sz="6" w:space="0" w:color="auto"/>
              <w:right w:val="nil"/>
            </w:tcBorders>
            <w:shd w:val="clear" w:color="auto" w:fill="auto"/>
            <w:noWrap/>
            <w:vAlign w:val="center"/>
            <w:hideMark/>
          </w:tcPr>
          <w:p w14:paraId="1D27761B" w14:textId="77777777" w:rsidR="00E043A8" w:rsidRPr="00D16895" w:rsidRDefault="00E043A8" w:rsidP="00747B41">
            <w:pPr>
              <w:spacing w:after="0" w:line="240" w:lineRule="auto"/>
              <w:contextualSpacing/>
              <w:rPr>
                <w:rFonts w:ascii="Times New Roman" w:eastAsia="Times New Roman" w:hAnsi="Times New Roman" w:cs="Times New Roman"/>
                <w:i/>
                <w:color w:val="000000"/>
                <w:lang w:val="en-US" w:eastAsia="pl-PL"/>
              </w:rPr>
            </w:pPr>
            <w:r w:rsidRPr="00D16895">
              <w:rPr>
                <w:rFonts w:ascii="Times New Roman" w:eastAsia="Times New Roman" w:hAnsi="Times New Roman" w:cs="Times New Roman"/>
                <w:i/>
                <w:color w:val="000000"/>
                <w:lang w:val="en-US" w:eastAsia="pl-PL"/>
              </w:rPr>
              <w:t>PGNIG</w:t>
            </w:r>
          </w:p>
        </w:tc>
        <w:tc>
          <w:tcPr>
            <w:tcW w:w="593" w:type="pct"/>
            <w:tcBorders>
              <w:top w:val="double" w:sz="4" w:space="0" w:color="auto"/>
              <w:left w:val="nil"/>
              <w:bottom w:val="single" w:sz="6" w:space="0" w:color="auto"/>
              <w:right w:val="nil"/>
            </w:tcBorders>
            <w:shd w:val="clear" w:color="auto" w:fill="auto"/>
            <w:noWrap/>
            <w:vAlign w:val="center"/>
            <w:hideMark/>
          </w:tcPr>
          <w:p w14:paraId="0DEABA5C"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0.4970</w:t>
            </w:r>
          </w:p>
        </w:tc>
        <w:tc>
          <w:tcPr>
            <w:tcW w:w="628" w:type="pct"/>
            <w:tcBorders>
              <w:top w:val="double" w:sz="4" w:space="0" w:color="auto"/>
              <w:left w:val="nil"/>
              <w:bottom w:val="single" w:sz="6" w:space="0" w:color="auto"/>
              <w:right w:val="nil"/>
            </w:tcBorders>
            <w:shd w:val="clear" w:color="auto" w:fill="auto"/>
            <w:noWrap/>
            <w:vAlign w:val="center"/>
            <w:hideMark/>
          </w:tcPr>
          <w:p w14:paraId="00FC1904"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7.1737</w:t>
            </w:r>
          </w:p>
        </w:tc>
        <w:tc>
          <w:tcPr>
            <w:tcW w:w="538" w:type="pct"/>
            <w:tcBorders>
              <w:top w:val="double" w:sz="4" w:space="0" w:color="auto"/>
              <w:left w:val="nil"/>
              <w:bottom w:val="single" w:sz="6" w:space="0" w:color="auto"/>
              <w:right w:val="nil"/>
            </w:tcBorders>
            <w:shd w:val="clear" w:color="auto" w:fill="auto"/>
            <w:noWrap/>
            <w:vAlign w:val="center"/>
            <w:hideMark/>
          </w:tcPr>
          <w:p w14:paraId="62586DC4"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4.9610</w:t>
            </w:r>
          </w:p>
        </w:tc>
        <w:tc>
          <w:tcPr>
            <w:tcW w:w="594" w:type="pct"/>
            <w:tcBorders>
              <w:top w:val="double" w:sz="4" w:space="0" w:color="auto"/>
              <w:left w:val="nil"/>
              <w:bottom w:val="single" w:sz="6" w:space="0" w:color="auto"/>
              <w:right w:val="nil"/>
            </w:tcBorders>
            <w:shd w:val="clear" w:color="auto" w:fill="auto"/>
            <w:noWrap/>
            <w:vAlign w:val="center"/>
            <w:hideMark/>
          </w:tcPr>
          <w:p w14:paraId="7577E4B3"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0.0335</w:t>
            </w:r>
          </w:p>
        </w:tc>
        <w:tc>
          <w:tcPr>
            <w:tcW w:w="721" w:type="pct"/>
            <w:tcBorders>
              <w:top w:val="double" w:sz="4" w:space="0" w:color="auto"/>
              <w:left w:val="nil"/>
              <w:bottom w:val="single" w:sz="6" w:space="0" w:color="auto"/>
              <w:right w:val="nil"/>
            </w:tcBorders>
            <w:shd w:val="clear" w:color="auto" w:fill="auto"/>
            <w:noWrap/>
            <w:vAlign w:val="center"/>
          </w:tcPr>
          <w:p w14:paraId="138D8CEF"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0.0732</w:t>
            </w:r>
          </w:p>
        </w:tc>
        <w:tc>
          <w:tcPr>
            <w:tcW w:w="1031" w:type="pct"/>
            <w:tcBorders>
              <w:top w:val="double" w:sz="4" w:space="0" w:color="auto"/>
              <w:left w:val="nil"/>
              <w:bottom w:val="single" w:sz="6" w:space="0" w:color="auto"/>
              <w:right w:val="nil"/>
            </w:tcBorders>
            <w:shd w:val="clear" w:color="auto" w:fill="auto"/>
            <w:noWrap/>
            <w:vAlign w:val="bottom"/>
            <w:hideMark/>
          </w:tcPr>
          <w:p w14:paraId="38646180" w14:textId="77777777" w:rsidR="00E043A8" w:rsidRPr="00D16895"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Oil &amp; Gas</w:t>
            </w:r>
          </w:p>
        </w:tc>
      </w:tr>
      <w:tr w:rsidR="00E043A8" w:rsidRPr="00D16895" w14:paraId="5395DCF1" w14:textId="77777777" w:rsidTr="00E043A8">
        <w:trPr>
          <w:trHeight w:val="322"/>
        </w:trPr>
        <w:tc>
          <w:tcPr>
            <w:tcW w:w="895" w:type="pct"/>
            <w:tcBorders>
              <w:top w:val="single" w:sz="6" w:space="0" w:color="auto"/>
              <w:left w:val="nil"/>
              <w:bottom w:val="single" w:sz="6" w:space="0" w:color="auto"/>
              <w:right w:val="nil"/>
            </w:tcBorders>
            <w:shd w:val="clear" w:color="auto" w:fill="auto"/>
            <w:noWrap/>
            <w:vAlign w:val="center"/>
            <w:hideMark/>
          </w:tcPr>
          <w:p w14:paraId="7696A094" w14:textId="77777777" w:rsidR="00E043A8" w:rsidRPr="00D16895" w:rsidRDefault="00E043A8" w:rsidP="00747B41">
            <w:pPr>
              <w:spacing w:after="0" w:line="240" w:lineRule="auto"/>
              <w:contextualSpacing/>
              <w:rPr>
                <w:rFonts w:ascii="Times New Roman" w:eastAsia="Times New Roman" w:hAnsi="Times New Roman" w:cs="Times New Roman"/>
                <w:i/>
                <w:color w:val="000000"/>
                <w:lang w:val="en-US" w:eastAsia="pl-PL"/>
              </w:rPr>
            </w:pPr>
            <w:r w:rsidRPr="00D16895">
              <w:rPr>
                <w:rFonts w:ascii="Times New Roman" w:eastAsia="Times New Roman" w:hAnsi="Times New Roman" w:cs="Times New Roman"/>
                <w:i/>
                <w:color w:val="000000"/>
                <w:lang w:val="en-US" w:eastAsia="pl-PL"/>
              </w:rPr>
              <w:t>PEKAO</w:t>
            </w:r>
          </w:p>
        </w:tc>
        <w:tc>
          <w:tcPr>
            <w:tcW w:w="593" w:type="pct"/>
            <w:tcBorders>
              <w:top w:val="single" w:sz="6" w:space="0" w:color="auto"/>
              <w:left w:val="nil"/>
              <w:bottom w:val="single" w:sz="6" w:space="0" w:color="auto"/>
              <w:right w:val="nil"/>
            </w:tcBorders>
            <w:shd w:val="clear" w:color="auto" w:fill="auto"/>
            <w:noWrap/>
            <w:vAlign w:val="center"/>
            <w:hideMark/>
          </w:tcPr>
          <w:p w14:paraId="0B9B486D"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0.0870</w:t>
            </w:r>
          </w:p>
        </w:tc>
        <w:tc>
          <w:tcPr>
            <w:tcW w:w="628" w:type="pct"/>
            <w:tcBorders>
              <w:top w:val="single" w:sz="6" w:space="0" w:color="auto"/>
              <w:left w:val="nil"/>
              <w:bottom w:val="single" w:sz="6" w:space="0" w:color="auto"/>
              <w:right w:val="nil"/>
            </w:tcBorders>
            <w:shd w:val="clear" w:color="auto" w:fill="auto"/>
            <w:noWrap/>
            <w:vAlign w:val="center"/>
            <w:hideMark/>
          </w:tcPr>
          <w:p w14:paraId="5F363E69"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8.9809</w:t>
            </w:r>
          </w:p>
        </w:tc>
        <w:tc>
          <w:tcPr>
            <w:tcW w:w="538" w:type="pct"/>
            <w:tcBorders>
              <w:top w:val="single" w:sz="6" w:space="0" w:color="auto"/>
              <w:left w:val="nil"/>
              <w:bottom w:val="single" w:sz="6" w:space="0" w:color="auto"/>
              <w:right w:val="nil"/>
            </w:tcBorders>
            <w:shd w:val="clear" w:color="auto" w:fill="auto"/>
            <w:noWrap/>
            <w:vAlign w:val="center"/>
            <w:hideMark/>
          </w:tcPr>
          <w:p w14:paraId="3F05208E"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6.4843</w:t>
            </w:r>
          </w:p>
        </w:tc>
        <w:tc>
          <w:tcPr>
            <w:tcW w:w="594" w:type="pct"/>
            <w:tcBorders>
              <w:top w:val="single" w:sz="6" w:space="0" w:color="auto"/>
              <w:left w:val="nil"/>
              <w:bottom w:val="single" w:sz="6" w:space="0" w:color="auto"/>
              <w:right w:val="nil"/>
            </w:tcBorders>
            <w:shd w:val="clear" w:color="auto" w:fill="auto"/>
            <w:noWrap/>
            <w:vAlign w:val="center"/>
            <w:hideMark/>
          </w:tcPr>
          <w:p w14:paraId="42BEBC54"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-0.1448</w:t>
            </w:r>
          </w:p>
        </w:tc>
        <w:tc>
          <w:tcPr>
            <w:tcW w:w="721" w:type="pct"/>
            <w:tcBorders>
              <w:top w:val="single" w:sz="6" w:space="0" w:color="auto"/>
              <w:left w:val="nil"/>
              <w:bottom w:val="single" w:sz="6" w:space="0" w:color="auto"/>
              <w:right w:val="nil"/>
            </w:tcBorders>
            <w:shd w:val="clear" w:color="auto" w:fill="auto"/>
            <w:noWrap/>
            <w:vAlign w:val="center"/>
          </w:tcPr>
          <w:p w14:paraId="2A4BCD11"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3.3442</w:t>
            </w:r>
          </w:p>
        </w:tc>
        <w:tc>
          <w:tcPr>
            <w:tcW w:w="1031" w:type="pct"/>
            <w:tcBorders>
              <w:top w:val="single" w:sz="6" w:space="0" w:color="auto"/>
              <w:left w:val="nil"/>
              <w:bottom w:val="single" w:sz="6" w:space="0" w:color="auto"/>
              <w:right w:val="nil"/>
            </w:tcBorders>
            <w:shd w:val="clear" w:color="auto" w:fill="auto"/>
            <w:noWrap/>
            <w:vAlign w:val="bottom"/>
            <w:hideMark/>
          </w:tcPr>
          <w:p w14:paraId="3906C3E4" w14:textId="77777777" w:rsidR="00E043A8" w:rsidRPr="00D16895" w:rsidRDefault="00E043A8" w:rsidP="00747B41">
            <w:pPr>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Banking</w:t>
            </w:r>
          </w:p>
        </w:tc>
      </w:tr>
      <w:tr w:rsidR="00E043A8" w:rsidRPr="00D16895" w14:paraId="1086DF6D" w14:textId="77777777" w:rsidTr="00E043A8">
        <w:trPr>
          <w:trHeight w:val="322"/>
        </w:trPr>
        <w:tc>
          <w:tcPr>
            <w:tcW w:w="895" w:type="pct"/>
            <w:tcBorders>
              <w:top w:val="single" w:sz="6" w:space="0" w:color="auto"/>
              <w:left w:val="nil"/>
              <w:bottom w:val="single" w:sz="6" w:space="0" w:color="auto"/>
              <w:right w:val="nil"/>
            </w:tcBorders>
            <w:shd w:val="clear" w:color="auto" w:fill="auto"/>
            <w:noWrap/>
            <w:vAlign w:val="center"/>
            <w:hideMark/>
          </w:tcPr>
          <w:p w14:paraId="3749DE98" w14:textId="77777777" w:rsidR="00E043A8" w:rsidRPr="00D16895" w:rsidRDefault="00E043A8" w:rsidP="00747B41">
            <w:pPr>
              <w:spacing w:after="0" w:line="240" w:lineRule="auto"/>
              <w:contextualSpacing/>
              <w:rPr>
                <w:rFonts w:ascii="Times New Roman" w:eastAsia="Times New Roman" w:hAnsi="Times New Roman" w:cs="Times New Roman"/>
                <w:i/>
                <w:color w:val="000000"/>
                <w:lang w:val="en-US" w:eastAsia="pl-PL"/>
              </w:rPr>
            </w:pPr>
            <w:r w:rsidRPr="00D16895">
              <w:rPr>
                <w:rFonts w:ascii="Times New Roman" w:eastAsia="Times New Roman" w:hAnsi="Times New Roman" w:cs="Times New Roman"/>
                <w:i/>
                <w:color w:val="000000"/>
                <w:lang w:val="en-US" w:eastAsia="pl-PL"/>
              </w:rPr>
              <w:t>PKOBP</w:t>
            </w:r>
          </w:p>
        </w:tc>
        <w:tc>
          <w:tcPr>
            <w:tcW w:w="593" w:type="pct"/>
            <w:tcBorders>
              <w:top w:val="single" w:sz="6" w:space="0" w:color="auto"/>
              <w:left w:val="nil"/>
              <w:bottom w:val="single" w:sz="6" w:space="0" w:color="auto"/>
              <w:right w:val="nil"/>
            </w:tcBorders>
            <w:shd w:val="clear" w:color="auto" w:fill="auto"/>
            <w:noWrap/>
            <w:vAlign w:val="center"/>
            <w:hideMark/>
          </w:tcPr>
          <w:p w14:paraId="27ED4D47"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0.1065</w:t>
            </w:r>
          </w:p>
        </w:tc>
        <w:tc>
          <w:tcPr>
            <w:tcW w:w="628" w:type="pct"/>
            <w:tcBorders>
              <w:top w:val="single" w:sz="6" w:space="0" w:color="auto"/>
              <w:left w:val="nil"/>
              <w:bottom w:val="single" w:sz="6" w:space="0" w:color="auto"/>
              <w:right w:val="nil"/>
            </w:tcBorders>
            <w:shd w:val="clear" w:color="auto" w:fill="auto"/>
            <w:noWrap/>
            <w:vAlign w:val="center"/>
            <w:hideMark/>
          </w:tcPr>
          <w:p w14:paraId="55BA7163"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8.8163</w:t>
            </w:r>
          </w:p>
        </w:tc>
        <w:tc>
          <w:tcPr>
            <w:tcW w:w="538" w:type="pct"/>
            <w:tcBorders>
              <w:top w:val="single" w:sz="6" w:space="0" w:color="auto"/>
              <w:left w:val="nil"/>
              <w:bottom w:val="single" w:sz="6" w:space="0" w:color="auto"/>
              <w:right w:val="nil"/>
            </w:tcBorders>
            <w:shd w:val="clear" w:color="auto" w:fill="auto"/>
            <w:noWrap/>
            <w:vAlign w:val="center"/>
            <w:hideMark/>
          </w:tcPr>
          <w:p w14:paraId="6C9CBF93"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6.7567</w:t>
            </w:r>
          </w:p>
        </w:tc>
        <w:tc>
          <w:tcPr>
            <w:tcW w:w="594" w:type="pct"/>
            <w:tcBorders>
              <w:top w:val="single" w:sz="6" w:space="0" w:color="auto"/>
              <w:left w:val="nil"/>
              <w:bottom w:val="single" w:sz="6" w:space="0" w:color="auto"/>
              <w:right w:val="nil"/>
            </w:tcBorders>
            <w:shd w:val="clear" w:color="auto" w:fill="auto"/>
            <w:noWrap/>
            <w:vAlign w:val="center"/>
            <w:hideMark/>
          </w:tcPr>
          <w:p w14:paraId="546E57B9"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-0.8586</w:t>
            </w:r>
          </w:p>
        </w:tc>
        <w:tc>
          <w:tcPr>
            <w:tcW w:w="721" w:type="pct"/>
            <w:tcBorders>
              <w:top w:val="single" w:sz="6" w:space="0" w:color="auto"/>
              <w:left w:val="nil"/>
              <w:bottom w:val="single" w:sz="6" w:space="0" w:color="auto"/>
              <w:right w:val="nil"/>
            </w:tcBorders>
            <w:shd w:val="clear" w:color="auto" w:fill="auto"/>
            <w:noWrap/>
            <w:vAlign w:val="center"/>
          </w:tcPr>
          <w:p w14:paraId="28282EA6"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3.3611</w:t>
            </w:r>
          </w:p>
        </w:tc>
        <w:tc>
          <w:tcPr>
            <w:tcW w:w="1031" w:type="pct"/>
            <w:tcBorders>
              <w:top w:val="single" w:sz="6" w:space="0" w:color="auto"/>
              <w:left w:val="nil"/>
              <w:bottom w:val="single" w:sz="6" w:space="0" w:color="auto"/>
              <w:right w:val="nil"/>
            </w:tcBorders>
            <w:shd w:val="clear" w:color="auto" w:fill="auto"/>
            <w:noWrap/>
            <w:vAlign w:val="bottom"/>
            <w:hideMark/>
          </w:tcPr>
          <w:p w14:paraId="28925300" w14:textId="77777777" w:rsidR="00E043A8" w:rsidRPr="00D16895" w:rsidRDefault="00E043A8" w:rsidP="00747B41">
            <w:pPr>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Banking</w:t>
            </w:r>
          </w:p>
        </w:tc>
      </w:tr>
      <w:tr w:rsidR="00E043A8" w:rsidRPr="00D16895" w14:paraId="1D8E59CF" w14:textId="77777777" w:rsidTr="00E043A8">
        <w:trPr>
          <w:trHeight w:val="322"/>
        </w:trPr>
        <w:tc>
          <w:tcPr>
            <w:tcW w:w="895" w:type="pct"/>
            <w:tcBorders>
              <w:top w:val="single" w:sz="6" w:space="0" w:color="auto"/>
              <w:left w:val="nil"/>
              <w:bottom w:val="single" w:sz="6" w:space="0" w:color="auto"/>
              <w:right w:val="nil"/>
            </w:tcBorders>
            <w:shd w:val="clear" w:color="auto" w:fill="auto"/>
            <w:noWrap/>
            <w:vAlign w:val="center"/>
            <w:hideMark/>
          </w:tcPr>
          <w:p w14:paraId="21360375" w14:textId="77777777" w:rsidR="00E043A8" w:rsidRPr="00D16895" w:rsidRDefault="00E043A8" w:rsidP="00747B41">
            <w:pPr>
              <w:spacing w:after="0" w:line="240" w:lineRule="auto"/>
              <w:contextualSpacing/>
              <w:rPr>
                <w:rFonts w:ascii="Times New Roman" w:eastAsia="Times New Roman" w:hAnsi="Times New Roman" w:cs="Times New Roman"/>
                <w:i/>
                <w:color w:val="000000"/>
                <w:lang w:val="en-US" w:eastAsia="pl-PL"/>
              </w:rPr>
            </w:pPr>
            <w:r w:rsidRPr="00D16895">
              <w:rPr>
                <w:rFonts w:ascii="Times New Roman" w:eastAsia="Times New Roman" w:hAnsi="Times New Roman" w:cs="Times New Roman"/>
                <w:i/>
                <w:color w:val="000000"/>
                <w:lang w:val="en-US" w:eastAsia="pl-PL"/>
              </w:rPr>
              <w:t>BZWBK</w:t>
            </w:r>
          </w:p>
        </w:tc>
        <w:tc>
          <w:tcPr>
            <w:tcW w:w="593" w:type="pct"/>
            <w:tcBorders>
              <w:top w:val="single" w:sz="6" w:space="0" w:color="auto"/>
              <w:left w:val="nil"/>
              <w:bottom w:val="single" w:sz="6" w:space="0" w:color="auto"/>
              <w:right w:val="nil"/>
            </w:tcBorders>
            <w:shd w:val="clear" w:color="auto" w:fill="auto"/>
            <w:noWrap/>
            <w:vAlign w:val="center"/>
            <w:hideMark/>
          </w:tcPr>
          <w:p w14:paraId="302F7573"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0.8583</w:t>
            </w:r>
          </w:p>
        </w:tc>
        <w:tc>
          <w:tcPr>
            <w:tcW w:w="628" w:type="pct"/>
            <w:tcBorders>
              <w:top w:val="single" w:sz="6" w:space="0" w:color="auto"/>
              <w:left w:val="nil"/>
              <w:bottom w:val="single" w:sz="6" w:space="0" w:color="auto"/>
              <w:right w:val="nil"/>
            </w:tcBorders>
            <w:shd w:val="clear" w:color="auto" w:fill="auto"/>
            <w:noWrap/>
            <w:vAlign w:val="center"/>
            <w:hideMark/>
          </w:tcPr>
          <w:p w14:paraId="27B97D5E"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9.8055</w:t>
            </w:r>
          </w:p>
        </w:tc>
        <w:tc>
          <w:tcPr>
            <w:tcW w:w="538" w:type="pct"/>
            <w:tcBorders>
              <w:top w:val="single" w:sz="6" w:space="0" w:color="auto"/>
              <w:left w:val="nil"/>
              <w:bottom w:val="single" w:sz="6" w:space="0" w:color="auto"/>
              <w:right w:val="nil"/>
            </w:tcBorders>
            <w:shd w:val="clear" w:color="auto" w:fill="auto"/>
            <w:noWrap/>
            <w:vAlign w:val="center"/>
            <w:hideMark/>
          </w:tcPr>
          <w:p w14:paraId="120B48A8"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6.9486</w:t>
            </w:r>
          </w:p>
        </w:tc>
        <w:tc>
          <w:tcPr>
            <w:tcW w:w="594" w:type="pct"/>
            <w:tcBorders>
              <w:top w:val="single" w:sz="6" w:space="0" w:color="auto"/>
              <w:left w:val="nil"/>
              <w:bottom w:val="single" w:sz="6" w:space="0" w:color="auto"/>
              <w:right w:val="nil"/>
            </w:tcBorders>
            <w:shd w:val="clear" w:color="auto" w:fill="auto"/>
            <w:noWrap/>
            <w:vAlign w:val="center"/>
            <w:hideMark/>
          </w:tcPr>
          <w:p w14:paraId="55EF0FC6"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0.0254</w:t>
            </w:r>
          </w:p>
        </w:tc>
        <w:tc>
          <w:tcPr>
            <w:tcW w:w="721" w:type="pct"/>
            <w:tcBorders>
              <w:top w:val="single" w:sz="6" w:space="0" w:color="auto"/>
              <w:left w:val="nil"/>
              <w:bottom w:val="single" w:sz="6" w:space="0" w:color="auto"/>
              <w:right w:val="nil"/>
            </w:tcBorders>
            <w:shd w:val="clear" w:color="auto" w:fill="auto"/>
            <w:noWrap/>
            <w:vAlign w:val="center"/>
          </w:tcPr>
          <w:p w14:paraId="4F3D085A"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1.4788</w:t>
            </w:r>
          </w:p>
        </w:tc>
        <w:tc>
          <w:tcPr>
            <w:tcW w:w="1031" w:type="pct"/>
            <w:tcBorders>
              <w:top w:val="single" w:sz="6" w:space="0" w:color="auto"/>
              <w:left w:val="nil"/>
              <w:bottom w:val="single" w:sz="6" w:space="0" w:color="auto"/>
              <w:right w:val="nil"/>
            </w:tcBorders>
            <w:shd w:val="clear" w:color="auto" w:fill="auto"/>
            <w:noWrap/>
            <w:vAlign w:val="bottom"/>
            <w:hideMark/>
          </w:tcPr>
          <w:p w14:paraId="73765456" w14:textId="77777777" w:rsidR="00E043A8" w:rsidRPr="00D16895" w:rsidRDefault="00E043A8" w:rsidP="00747B41">
            <w:pPr>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Banking</w:t>
            </w:r>
          </w:p>
        </w:tc>
      </w:tr>
      <w:tr w:rsidR="00E043A8" w:rsidRPr="00D16895" w14:paraId="698850D6" w14:textId="77777777" w:rsidTr="00E043A8">
        <w:trPr>
          <w:trHeight w:val="322"/>
        </w:trPr>
        <w:tc>
          <w:tcPr>
            <w:tcW w:w="895" w:type="pct"/>
            <w:tcBorders>
              <w:top w:val="single" w:sz="6" w:space="0" w:color="auto"/>
              <w:left w:val="nil"/>
              <w:bottom w:val="single" w:sz="6" w:space="0" w:color="auto"/>
              <w:right w:val="nil"/>
            </w:tcBorders>
            <w:shd w:val="clear" w:color="auto" w:fill="auto"/>
            <w:noWrap/>
            <w:vAlign w:val="center"/>
            <w:hideMark/>
          </w:tcPr>
          <w:p w14:paraId="791829B2" w14:textId="77777777" w:rsidR="00E043A8" w:rsidRPr="00D16895" w:rsidRDefault="00E043A8" w:rsidP="00747B41">
            <w:pPr>
              <w:spacing w:after="0" w:line="240" w:lineRule="auto"/>
              <w:contextualSpacing/>
              <w:rPr>
                <w:rFonts w:ascii="Times New Roman" w:eastAsia="Times New Roman" w:hAnsi="Times New Roman" w:cs="Times New Roman"/>
                <w:i/>
                <w:color w:val="000000"/>
                <w:lang w:val="en-US" w:eastAsia="pl-PL"/>
              </w:rPr>
            </w:pPr>
            <w:r w:rsidRPr="00D16895">
              <w:rPr>
                <w:rFonts w:ascii="Times New Roman" w:eastAsia="Times New Roman" w:hAnsi="Times New Roman" w:cs="Times New Roman"/>
                <w:i/>
                <w:color w:val="000000"/>
                <w:lang w:val="en-US" w:eastAsia="pl-PL"/>
              </w:rPr>
              <w:t>PKNORLEN</w:t>
            </w:r>
          </w:p>
        </w:tc>
        <w:tc>
          <w:tcPr>
            <w:tcW w:w="593" w:type="pct"/>
            <w:tcBorders>
              <w:top w:val="single" w:sz="6" w:space="0" w:color="auto"/>
              <w:left w:val="nil"/>
              <w:bottom w:val="single" w:sz="6" w:space="0" w:color="auto"/>
              <w:right w:val="nil"/>
            </w:tcBorders>
            <w:shd w:val="clear" w:color="auto" w:fill="auto"/>
            <w:noWrap/>
            <w:vAlign w:val="center"/>
            <w:hideMark/>
          </w:tcPr>
          <w:p w14:paraId="2F048727"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0.4344</w:t>
            </w:r>
          </w:p>
        </w:tc>
        <w:tc>
          <w:tcPr>
            <w:tcW w:w="628" w:type="pct"/>
            <w:tcBorders>
              <w:top w:val="single" w:sz="6" w:space="0" w:color="auto"/>
              <w:left w:val="nil"/>
              <w:bottom w:val="single" w:sz="6" w:space="0" w:color="auto"/>
              <w:right w:val="nil"/>
            </w:tcBorders>
            <w:shd w:val="clear" w:color="auto" w:fill="auto"/>
            <w:noWrap/>
            <w:vAlign w:val="center"/>
            <w:hideMark/>
          </w:tcPr>
          <w:p w14:paraId="5BC1B5D0"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8.5566</w:t>
            </w:r>
          </w:p>
        </w:tc>
        <w:tc>
          <w:tcPr>
            <w:tcW w:w="538" w:type="pct"/>
            <w:tcBorders>
              <w:top w:val="single" w:sz="6" w:space="0" w:color="auto"/>
              <w:left w:val="nil"/>
              <w:bottom w:val="single" w:sz="6" w:space="0" w:color="auto"/>
              <w:right w:val="nil"/>
            </w:tcBorders>
            <w:shd w:val="clear" w:color="auto" w:fill="auto"/>
            <w:noWrap/>
            <w:vAlign w:val="center"/>
            <w:hideMark/>
          </w:tcPr>
          <w:p w14:paraId="3168D3D1"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6.3549</w:t>
            </w:r>
          </w:p>
        </w:tc>
        <w:tc>
          <w:tcPr>
            <w:tcW w:w="594" w:type="pct"/>
            <w:tcBorders>
              <w:top w:val="single" w:sz="6" w:space="0" w:color="auto"/>
              <w:left w:val="nil"/>
              <w:bottom w:val="single" w:sz="6" w:space="0" w:color="auto"/>
              <w:right w:val="nil"/>
            </w:tcBorders>
            <w:shd w:val="clear" w:color="auto" w:fill="auto"/>
            <w:noWrap/>
            <w:vAlign w:val="center"/>
            <w:hideMark/>
          </w:tcPr>
          <w:p w14:paraId="1D92B7F1"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-0.3657</w:t>
            </w:r>
          </w:p>
        </w:tc>
        <w:tc>
          <w:tcPr>
            <w:tcW w:w="721" w:type="pct"/>
            <w:tcBorders>
              <w:top w:val="single" w:sz="6" w:space="0" w:color="auto"/>
              <w:left w:val="nil"/>
              <w:bottom w:val="single" w:sz="6" w:space="0" w:color="auto"/>
              <w:right w:val="nil"/>
            </w:tcBorders>
            <w:shd w:val="clear" w:color="auto" w:fill="auto"/>
            <w:noWrap/>
            <w:vAlign w:val="center"/>
          </w:tcPr>
          <w:p w14:paraId="20A7692D"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0.0169</w:t>
            </w:r>
          </w:p>
        </w:tc>
        <w:tc>
          <w:tcPr>
            <w:tcW w:w="1031" w:type="pct"/>
            <w:tcBorders>
              <w:top w:val="single" w:sz="6" w:space="0" w:color="auto"/>
              <w:left w:val="nil"/>
              <w:bottom w:val="single" w:sz="6" w:space="0" w:color="auto"/>
              <w:right w:val="nil"/>
            </w:tcBorders>
            <w:shd w:val="clear" w:color="auto" w:fill="auto"/>
            <w:noWrap/>
            <w:vAlign w:val="bottom"/>
            <w:hideMark/>
          </w:tcPr>
          <w:p w14:paraId="517AA7E8" w14:textId="77777777" w:rsidR="00E043A8" w:rsidRPr="00D16895"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Oil &amp; Gas</w:t>
            </w:r>
          </w:p>
        </w:tc>
      </w:tr>
      <w:tr w:rsidR="00E043A8" w:rsidRPr="00D16895" w14:paraId="4B32FE94" w14:textId="77777777" w:rsidTr="00E043A8">
        <w:trPr>
          <w:trHeight w:val="322"/>
        </w:trPr>
        <w:tc>
          <w:tcPr>
            <w:tcW w:w="895" w:type="pct"/>
            <w:tcBorders>
              <w:top w:val="single" w:sz="6" w:space="0" w:color="auto"/>
              <w:left w:val="nil"/>
              <w:bottom w:val="single" w:sz="6" w:space="0" w:color="auto"/>
              <w:right w:val="nil"/>
            </w:tcBorders>
            <w:shd w:val="clear" w:color="auto" w:fill="auto"/>
            <w:noWrap/>
            <w:vAlign w:val="center"/>
            <w:hideMark/>
          </w:tcPr>
          <w:p w14:paraId="2D920E9D" w14:textId="77777777" w:rsidR="00E043A8" w:rsidRPr="00D16895" w:rsidRDefault="00E043A8" w:rsidP="00747B41">
            <w:pPr>
              <w:spacing w:after="0" w:line="240" w:lineRule="auto"/>
              <w:contextualSpacing/>
              <w:rPr>
                <w:rFonts w:ascii="Times New Roman" w:eastAsia="Times New Roman" w:hAnsi="Times New Roman" w:cs="Times New Roman"/>
                <w:i/>
                <w:color w:val="000000"/>
                <w:lang w:val="en-US" w:eastAsia="pl-PL"/>
              </w:rPr>
            </w:pPr>
            <w:r w:rsidRPr="00D16895">
              <w:rPr>
                <w:rFonts w:ascii="Times New Roman" w:eastAsia="Times New Roman" w:hAnsi="Times New Roman" w:cs="Times New Roman"/>
                <w:i/>
                <w:color w:val="000000"/>
                <w:lang w:val="en-US" w:eastAsia="pl-PL"/>
              </w:rPr>
              <w:t>KGHM</w:t>
            </w:r>
          </w:p>
        </w:tc>
        <w:tc>
          <w:tcPr>
            <w:tcW w:w="593" w:type="pct"/>
            <w:tcBorders>
              <w:top w:val="single" w:sz="6" w:space="0" w:color="auto"/>
              <w:left w:val="nil"/>
              <w:bottom w:val="single" w:sz="6" w:space="0" w:color="auto"/>
              <w:right w:val="nil"/>
            </w:tcBorders>
            <w:shd w:val="clear" w:color="auto" w:fill="auto"/>
            <w:noWrap/>
            <w:vAlign w:val="center"/>
            <w:hideMark/>
          </w:tcPr>
          <w:p w14:paraId="574773F3"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0.9148</w:t>
            </w:r>
          </w:p>
        </w:tc>
        <w:tc>
          <w:tcPr>
            <w:tcW w:w="628" w:type="pct"/>
            <w:tcBorders>
              <w:top w:val="single" w:sz="6" w:space="0" w:color="auto"/>
              <w:left w:val="nil"/>
              <w:bottom w:val="single" w:sz="6" w:space="0" w:color="auto"/>
              <w:right w:val="nil"/>
            </w:tcBorders>
            <w:shd w:val="clear" w:color="auto" w:fill="auto"/>
            <w:noWrap/>
            <w:vAlign w:val="center"/>
            <w:hideMark/>
          </w:tcPr>
          <w:p w14:paraId="6B382617"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12.4319</w:t>
            </w:r>
          </w:p>
        </w:tc>
        <w:tc>
          <w:tcPr>
            <w:tcW w:w="538" w:type="pct"/>
            <w:tcBorders>
              <w:top w:val="single" w:sz="6" w:space="0" w:color="auto"/>
              <w:left w:val="nil"/>
              <w:bottom w:val="single" w:sz="6" w:space="0" w:color="auto"/>
              <w:right w:val="nil"/>
            </w:tcBorders>
            <w:shd w:val="clear" w:color="auto" w:fill="auto"/>
            <w:noWrap/>
            <w:vAlign w:val="center"/>
            <w:hideMark/>
          </w:tcPr>
          <w:p w14:paraId="641A2103"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9.2832</w:t>
            </w:r>
          </w:p>
        </w:tc>
        <w:tc>
          <w:tcPr>
            <w:tcW w:w="594" w:type="pct"/>
            <w:tcBorders>
              <w:top w:val="single" w:sz="6" w:space="0" w:color="auto"/>
              <w:left w:val="nil"/>
              <w:bottom w:val="single" w:sz="6" w:space="0" w:color="auto"/>
              <w:right w:val="nil"/>
            </w:tcBorders>
            <w:shd w:val="clear" w:color="auto" w:fill="auto"/>
            <w:noWrap/>
            <w:vAlign w:val="center"/>
            <w:hideMark/>
          </w:tcPr>
          <w:p w14:paraId="59715637"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-0.6663</w:t>
            </w:r>
          </w:p>
        </w:tc>
        <w:tc>
          <w:tcPr>
            <w:tcW w:w="721" w:type="pct"/>
            <w:tcBorders>
              <w:top w:val="single" w:sz="6" w:space="0" w:color="auto"/>
              <w:left w:val="nil"/>
              <w:bottom w:val="single" w:sz="6" w:space="0" w:color="auto"/>
              <w:right w:val="nil"/>
            </w:tcBorders>
            <w:shd w:val="clear" w:color="auto" w:fill="auto"/>
            <w:noWrap/>
            <w:vAlign w:val="center"/>
          </w:tcPr>
          <w:p w14:paraId="6C056BEC"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2.2250</w:t>
            </w:r>
          </w:p>
        </w:tc>
        <w:tc>
          <w:tcPr>
            <w:tcW w:w="1031" w:type="pct"/>
            <w:tcBorders>
              <w:top w:val="single" w:sz="6" w:space="0" w:color="auto"/>
              <w:left w:val="nil"/>
              <w:bottom w:val="single" w:sz="6" w:space="0" w:color="auto"/>
              <w:right w:val="nil"/>
            </w:tcBorders>
            <w:shd w:val="clear" w:color="auto" w:fill="auto"/>
            <w:noWrap/>
            <w:vAlign w:val="bottom"/>
            <w:hideMark/>
          </w:tcPr>
          <w:p w14:paraId="270A24D0" w14:textId="77777777" w:rsidR="00E043A8" w:rsidRPr="00D16895"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 xml:space="preserve">Basic </w:t>
            </w:r>
            <w:r>
              <w:rPr>
                <w:rFonts w:ascii="Times New Roman" w:eastAsia="Times New Roman" w:hAnsi="Times New Roman" w:cs="Times New Roman"/>
                <w:color w:val="000000"/>
                <w:lang w:val="en-US" w:eastAsia="pl-PL"/>
              </w:rPr>
              <w:t>Materials</w:t>
            </w:r>
          </w:p>
        </w:tc>
      </w:tr>
      <w:tr w:rsidR="00E043A8" w:rsidRPr="00D16895" w14:paraId="5AE88D7C" w14:textId="77777777" w:rsidTr="00E043A8">
        <w:trPr>
          <w:trHeight w:val="322"/>
        </w:trPr>
        <w:tc>
          <w:tcPr>
            <w:tcW w:w="895" w:type="pct"/>
            <w:tcBorders>
              <w:top w:val="single" w:sz="6" w:space="0" w:color="auto"/>
              <w:left w:val="nil"/>
              <w:bottom w:val="single" w:sz="6" w:space="0" w:color="auto"/>
              <w:right w:val="nil"/>
            </w:tcBorders>
            <w:shd w:val="clear" w:color="auto" w:fill="auto"/>
            <w:noWrap/>
            <w:vAlign w:val="center"/>
            <w:hideMark/>
          </w:tcPr>
          <w:p w14:paraId="7E5D4463" w14:textId="77777777" w:rsidR="00E043A8" w:rsidRPr="00D16895" w:rsidRDefault="00E043A8" w:rsidP="00747B41">
            <w:pPr>
              <w:spacing w:after="0" w:line="240" w:lineRule="auto"/>
              <w:contextualSpacing/>
              <w:rPr>
                <w:rFonts w:ascii="Times New Roman" w:eastAsia="Times New Roman" w:hAnsi="Times New Roman" w:cs="Times New Roman"/>
                <w:i/>
                <w:color w:val="000000"/>
                <w:lang w:val="en-US" w:eastAsia="pl-PL"/>
              </w:rPr>
            </w:pPr>
            <w:r w:rsidRPr="00D16895">
              <w:rPr>
                <w:rFonts w:ascii="Times New Roman" w:eastAsia="Times New Roman" w:hAnsi="Times New Roman" w:cs="Times New Roman"/>
                <w:i/>
                <w:color w:val="000000"/>
                <w:lang w:val="en-US" w:eastAsia="pl-PL"/>
              </w:rPr>
              <w:t>MBANK</w:t>
            </w:r>
          </w:p>
        </w:tc>
        <w:tc>
          <w:tcPr>
            <w:tcW w:w="593" w:type="pct"/>
            <w:tcBorders>
              <w:top w:val="single" w:sz="6" w:space="0" w:color="auto"/>
              <w:left w:val="nil"/>
              <w:bottom w:val="single" w:sz="6" w:space="0" w:color="auto"/>
              <w:right w:val="nil"/>
            </w:tcBorders>
            <w:shd w:val="clear" w:color="auto" w:fill="auto"/>
            <w:noWrap/>
            <w:vAlign w:val="center"/>
            <w:hideMark/>
          </w:tcPr>
          <w:p w14:paraId="5B1574E3"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0.9595</w:t>
            </w:r>
          </w:p>
        </w:tc>
        <w:tc>
          <w:tcPr>
            <w:tcW w:w="628" w:type="pct"/>
            <w:tcBorders>
              <w:top w:val="single" w:sz="6" w:space="0" w:color="auto"/>
              <w:left w:val="nil"/>
              <w:bottom w:val="single" w:sz="6" w:space="0" w:color="auto"/>
              <w:right w:val="nil"/>
            </w:tcBorders>
            <w:shd w:val="clear" w:color="auto" w:fill="auto"/>
            <w:noWrap/>
            <w:vAlign w:val="center"/>
            <w:hideMark/>
          </w:tcPr>
          <w:p w14:paraId="61320A18"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11.6120</w:t>
            </w:r>
          </w:p>
        </w:tc>
        <w:tc>
          <w:tcPr>
            <w:tcW w:w="538" w:type="pct"/>
            <w:tcBorders>
              <w:top w:val="single" w:sz="6" w:space="0" w:color="auto"/>
              <w:left w:val="nil"/>
              <w:bottom w:val="single" w:sz="6" w:space="0" w:color="auto"/>
              <w:right w:val="nil"/>
            </w:tcBorders>
            <w:shd w:val="clear" w:color="auto" w:fill="auto"/>
            <w:noWrap/>
            <w:vAlign w:val="center"/>
            <w:hideMark/>
          </w:tcPr>
          <w:p w14:paraId="57BA2E8F"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9.0083</w:t>
            </w:r>
          </w:p>
        </w:tc>
        <w:tc>
          <w:tcPr>
            <w:tcW w:w="594" w:type="pct"/>
            <w:tcBorders>
              <w:top w:val="single" w:sz="6" w:space="0" w:color="auto"/>
              <w:left w:val="nil"/>
              <w:bottom w:val="single" w:sz="6" w:space="0" w:color="auto"/>
              <w:right w:val="nil"/>
            </w:tcBorders>
            <w:shd w:val="clear" w:color="auto" w:fill="auto"/>
            <w:noWrap/>
            <w:vAlign w:val="center"/>
            <w:hideMark/>
          </w:tcPr>
          <w:p w14:paraId="1C98F6BF"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-1.0764</w:t>
            </w:r>
          </w:p>
        </w:tc>
        <w:tc>
          <w:tcPr>
            <w:tcW w:w="721" w:type="pct"/>
            <w:tcBorders>
              <w:top w:val="single" w:sz="6" w:space="0" w:color="auto"/>
              <w:left w:val="nil"/>
              <w:bottom w:val="single" w:sz="6" w:space="0" w:color="auto"/>
              <w:right w:val="nil"/>
            </w:tcBorders>
            <w:shd w:val="clear" w:color="auto" w:fill="auto"/>
            <w:noWrap/>
            <w:vAlign w:val="center"/>
          </w:tcPr>
          <w:p w14:paraId="333ECC36"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4.1520</w:t>
            </w:r>
          </w:p>
        </w:tc>
        <w:tc>
          <w:tcPr>
            <w:tcW w:w="1031" w:type="pct"/>
            <w:tcBorders>
              <w:top w:val="single" w:sz="6" w:space="0" w:color="auto"/>
              <w:left w:val="nil"/>
              <w:bottom w:val="single" w:sz="6" w:space="0" w:color="auto"/>
              <w:right w:val="nil"/>
            </w:tcBorders>
            <w:shd w:val="clear" w:color="auto" w:fill="auto"/>
            <w:noWrap/>
            <w:vAlign w:val="bottom"/>
            <w:hideMark/>
          </w:tcPr>
          <w:p w14:paraId="0B2D10C2" w14:textId="77777777" w:rsidR="00E043A8" w:rsidRPr="00D16895" w:rsidRDefault="00E043A8" w:rsidP="00747B41">
            <w:pPr>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Banking</w:t>
            </w:r>
          </w:p>
        </w:tc>
      </w:tr>
      <w:tr w:rsidR="00E043A8" w:rsidRPr="00D16895" w14:paraId="45A983B9" w14:textId="77777777" w:rsidTr="00E043A8">
        <w:trPr>
          <w:trHeight w:val="322"/>
        </w:trPr>
        <w:tc>
          <w:tcPr>
            <w:tcW w:w="895" w:type="pct"/>
            <w:tcBorders>
              <w:top w:val="single" w:sz="6" w:space="0" w:color="auto"/>
              <w:left w:val="nil"/>
              <w:bottom w:val="single" w:sz="6" w:space="0" w:color="auto"/>
              <w:right w:val="nil"/>
            </w:tcBorders>
            <w:shd w:val="clear" w:color="auto" w:fill="auto"/>
            <w:noWrap/>
            <w:vAlign w:val="center"/>
            <w:hideMark/>
          </w:tcPr>
          <w:p w14:paraId="2688B1EE" w14:textId="77777777" w:rsidR="00E043A8" w:rsidRPr="00D16895" w:rsidRDefault="00E043A8" w:rsidP="00747B41">
            <w:pPr>
              <w:spacing w:after="0" w:line="240" w:lineRule="auto"/>
              <w:contextualSpacing/>
              <w:rPr>
                <w:rFonts w:ascii="Times New Roman" w:eastAsia="Times New Roman" w:hAnsi="Times New Roman" w:cs="Times New Roman"/>
                <w:i/>
                <w:color w:val="000000"/>
                <w:lang w:val="en-US" w:eastAsia="pl-PL"/>
              </w:rPr>
            </w:pPr>
            <w:r w:rsidRPr="00D16895">
              <w:rPr>
                <w:rFonts w:ascii="Times New Roman" w:eastAsia="Times New Roman" w:hAnsi="Times New Roman" w:cs="Times New Roman"/>
                <w:i/>
                <w:color w:val="000000"/>
                <w:lang w:val="en-US" w:eastAsia="pl-PL"/>
              </w:rPr>
              <w:t>LPP</w:t>
            </w:r>
          </w:p>
        </w:tc>
        <w:tc>
          <w:tcPr>
            <w:tcW w:w="593" w:type="pct"/>
            <w:tcBorders>
              <w:top w:val="single" w:sz="6" w:space="0" w:color="auto"/>
              <w:left w:val="nil"/>
              <w:bottom w:val="single" w:sz="6" w:space="0" w:color="auto"/>
              <w:right w:val="nil"/>
            </w:tcBorders>
            <w:shd w:val="clear" w:color="auto" w:fill="auto"/>
            <w:noWrap/>
            <w:vAlign w:val="center"/>
            <w:hideMark/>
          </w:tcPr>
          <w:p w14:paraId="651EAFCE"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2.0843</w:t>
            </w:r>
          </w:p>
        </w:tc>
        <w:tc>
          <w:tcPr>
            <w:tcW w:w="628" w:type="pct"/>
            <w:tcBorders>
              <w:top w:val="single" w:sz="6" w:space="0" w:color="auto"/>
              <w:left w:val="nil"/>
              <w:bottom w:val="single" w:sz="6" w:space="0" w:color="auto"/>
              <w:right w:val="nil"/>
            </w:tcBorders>
            <w:shd w:val="clear" w:color="auto" w:fill="auto"/>
            <w:noWrap/>
            <w:vAlign w:val="center"/>
            <w:hideMark/>
          </w:tcPr>
          <w:p w14:paraId="654B6274"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11.4691</w:t>
            </w:r>
          </w:p>
        </w:tc>
        <w:tc>
          <w:tcPr>
            <w:tcW w:w="538" w:type="pct"/>
            <w:tcBorders>
              <w:top w:val="single" w:sz="6" w:space="0" w:color="auto"/>
              <w:left w:val="nil"/>
              <w:bottom w:val="single" w:sz="6" w:space="0" w:color="auto"/>
              <w:right w:val="nil"/>
            </w:tcBorders>
            <w:shd w:val="clear" w:color="auto" w:fill="auto"/>
            <w:noWrap/>
            <w:vAlign w:val="center"/>
            <w:hideMark/>
          </w:tcPr>
          <w:p w14:paraId="180CD635"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8.7034</w:t>
            </w:r>
          </w:p>
        </w:tc>
        <w:tc>
          <w:tcPr>
            <w:tcW w:w="594" w:type="pct"/>
            <w:tcBorders>
              <w:top w:val="single" w:sz="6" w:space="0" w:color="auto"/>
              <w:left w:val="nil"/>
              <w:bottom w:val="single" w:sz="6" w:space="0" w:color="auto"/>
              <w:right w:val="nil"/>
            </w:tcBorders>
            <w:shd w:val="clear" w:color="auto" w:fill="auto"/>
            <w:noWrap/>
            <w:vAlign w:val="center"/>
            <w:hideMark/>
          </w:tcPr>
          <w:p w14:paraId="3F826F78"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-0.7563</w:t>
            </w:r>
          </w:p>
        </w:tc>
        <w:tc>
          <w:tcPr>
            <w:tcW w:w="721" w:type="pct"/>
            <w:tcBorders>
              <w:top w:val="single" w:sz="6" w:space="0" w:color="auto"/>
              <w:left w:val="nil"/>
              <w:bottom w:val="single" w:sz="6" w:space="0" w:color="auto"/>
              <w:right w:val="nil"/>
            </w:tcBorders>
            <w:shd w:val="clear" w:color="auto" w:fill="auto"/>
            <w:noWrap/>
            <w:vAlign w:val="center"/>
          </w:tcPr>
          <w:p w14:paraId="09FB1BA0"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3.1530</w:t>
            </w:r>
          </w:p>
        </w:tc>
        <w:tc>
          <w:tcPr>
            <w:tcW w:w="1031" w:type="pct"/>
            <w:tcBorders>
              <w:top w:val="single" w:sz="6" w:space="0" w:color="auto"/>
              <w:left w:val="nil"/>
              <w:bottom w:val="single" w:sz="6" w:space="0" w:color="auto"/>
              <w:right w:val="nil"/>
            </w:tcBorders>
            <w:shd w:val="clear" w:color="auto" w:fill="auto"/>
            <w:noWrap/>
            <w:vAlign w:val="bottom"/>
            <w:hideMark/>
          </w:tcPr>
          <w:p w14:paraId="015F721D" w14:textId="77777777" w:rsidR="00E043A8" w:rsidRPr="00D16895"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Retail trade</w:t>
            </w:r>
          </w:p>
        </w:tc>
      </w:tr>
      <w:tr w:rsidR="00E043A8" w:rsidRPr="00D16895" w14:paraId="170AAC6A" w14:textId="77777777" w:rsidTr="00E043A8">
        <w:trPr>
          <w:trHeight w:val="322"/>
        </w:trPr>
        <w:tc>
          <w:tcPr>
            <w:tcW w:w="895" w:type="pct"/>
            <w:tcBorders>
              <w:top w:val="single" w:sz="6" w:space="0" w:color="auto"/>
              <w:left w:val="nil"/>
              <w:bottom w:val="single" w:sz="6" w:space="0" w:color="auto"/>
              <w:right w:val="nil"/>
            </w:tcBorders>
            <w:shd w:val="clear" w:color="auto" w:fill="auto"/>
            <w:noWrap/>
            <w:vAlign w:val="center"/>
            <w:hideMark/>
          </w:tcPr>
          <w:p w14:paraId="132F2B19" w14:textId="77777777" w:rsidR="00E043A8" w:rsidRPr="00D16895" w:rsidRDefault="00E043A8" w:rsidP="00747B41">
            <w:pPr>
              <w:spacing w:after="0" w:line="240" w:lineRule="auto"/>
              <w:contextualSpacing/>
              <w:rPr>
                <w:rFonts w:ascii="Times New Roman" w:eastAsia="Times New Roman" w:hAnsi="Times New Roman" w:cs="Times New Roman"/>
                <w:i/>
                <w:color w:val="000000"/>
                <w:lang w:val="en-US" w:eastAsia="pl-PL"/>
              </w:rPr>
            </w:pPr>
            <w:r w:rsidRPr="00D16895">
              <w:rPr>
                <w:rFonts w:ascii="Times New Roman" w:eastAsia="Times New Roman" w:hAnsi="Times New Roman" w:cs="Times New Roman"/>
                <w:i/>
                <w:color w:val="000000"/>
                <w:lang w:val="en-US" w:eastAsia="pl-PL"/>
              </w:rPr>
              <w:t>ORANGEPL</w:t>
            </w:r>
          </w:p>
        </w:tc>
        <w:tc>
          <w:tcPr>
            <w:tcW w:w="593" w:type="pct"/>
            <w:tcBorders>
              <w:top w:val="single" w:sz="6" w:space="0" w:color="auto"/>
              <w:left w:val="nil"/>
              <w:bottom w:val="single" w:sz="6" w:space="0" w:color="auto"/>
              <w:right w:val="nil"/>
            </w:tcBorders>
            <w:shd w:val="clear" w:color="auto" w:fill="auto"/>
            <w:noWrap/>
            <w:vAlign w:val="center"/>
            <w:hideMark/>
          </w:tcPr>
          <w:p w14:paraId="139529B0"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-0.7767</w:t>
            </w:r>
          </w:p>
        </w:tc>
        <w:tc>
          <w:tcPr>
            <w:tcW w:w="628" w:type="pct"/>
            <w:tcBorders>
              <w:top w:val="single" w:sz="6" w:space="0" w:color="auto"/>
              <w:left w:val="nil"/>
              <w:bottom w:val="single" w:sz="6" w:space="0" w:color="auto"/>
              <w:right w:val="nil"/>
            </w:tcBorders>
            <w:shd w:val="clear" w:color="auto" w:fill="auto"/>
            <w:noWrap/>
            <w:vAlign w:val="center"/>
            <w:hideMark/>
          </w:tcPr>
          <w:p w14:paraId="5C6D02FA"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9.0154</w:t>
            </w:r>
          </w:p>
        </w:tc>
        <w:tc>
          <w:tcPr>
            <w:tcW w:w="538" w:type="pct"/>
            <w:tcBorders>
              <w:top w:val="single" w:sz="6" w:space="0" w:color="auto"/>
              <w:left w:val="nil"/>
              <w:bottom w:val="single" w:sz="6" w:space="0" w:color="auto"/>
              <w:right w:val="nil"/>
            </w:tcBorders>
            <w:shd w:val="clear" w:color="auto" w:fill="auto"/>
            <w:noWrap/>
            <w:vAlign w:val="center"/>
            <w:hideMark/>
          </w:tcPr>
          <w:p w14:paraId="5D1819F1"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7.3121</w:t>
            </w:r>
          </w:p>
        </w:tc>
        <w:tc>
          <w:tcPr>
            <w:tcW w:w="594" w:type="pct"/>
            <w:tcBorders>
              <w:top w:val="single" w:sz="6" w:space="0" w:color="auto"/>
              <w:left w:val="nil"/>
              <w:bottom w:val="single" w:sz="6" w:space="0" w:color="auto"/>
              <w:right w:val="nil"/>
            </w:tcBorders>
            <w:shd w:val="clear" w:color="auto" w:fill="auto"/>
            <w:noWrap/>
            <w:vAlign w:val="center"/>
            <w:hideMark/>
          </w:tcPr>
          <w:p w14:paraId="00A82CB0"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-2.1153</w:t>
            </w:r>
          </w:p>
        </w:tc>
        <w:tc>
          <w:tcPr>
            <w:tcW w:w="721" w:type="pct"/>
            <w:tcBorders>
              <w:top w:val="single" w:sz="6" w:space="0" w:color="auto"/>
              <w:left w:val="nil"/>
              <w:bottom w:val="single" w:sz="6" w:space="0" w:color="auto"/>
              <w:right w:val="nil"/>
            </w:tcBorders>
            <w:shd w:val="clear" w:color="auto" w:fill="auto"/>
            <w:noWrap/>
            <w:vAlign w:val="center"/>
          </w:tcPr>
          <w:p w14:paraId="4EC71243"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11.0572</w:t>
            </w:r>
          </w:p>
        </w:tc>
        <w:tc>
          <w:tcPr>
            <w:tcW w:w="1031" w:type="pct"/>
            <w:tcBorders>
              <w:top w:val="single" w:sz="6" w:space="0" w:color="auto"/>
              <w:left w:val="nil"/>
              <w:bottom w:val="single" w:sz="6" w:space="0" w:color="auto"/>
              <w:right w:val="nil"/>
            </w:tcBorders>
            <w:shd w:val="clear" w:color="auto" w:fill="auto"/>
            <w:noWrap/>
            <w:vAlign w:val="bottom"/>
            <w:hideMark/>
          </w:tcPr>
          <w:p w14:paraId="46146244" w14:textId="77777777" w:rsidR="00E043A8" w:rsidRPr="00D16895"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Telecommunication</w:t>
            </w:r>
          </w:p>
        </w:tc>
      </w:tr>
      <w:tr w:rsidR="00E043A8" w:rsidRPr="00D16895" w14:paraId="749F9FFB" w14:textId="77777777" w:rsidTr="00E043A8">
        <w:trPr>
          <w:trHeight w:val="322"/>
        </w:trPr>
        <w:tc>
          <w:tcPr>
            <w:tcW w:w="895" w:type="pct"/>
            <w:tcBorders>
              <w:top w:val="single" w:sz="6" w:space="0" w:color="auto"/>
              <w:left w:val="nil"/>
              <w:bottom w:val="single" w:sz="6" w:space="0" w:color="auto"/>
              <w:right w:val="nil"/>
            </w:tcBorders>
            <w:shd w:val="clear" w:color="auto" w:fill="auto"/>
            <w:noWrap/>
            <w:vAlign w:val="center"/>
            <w:hideMark/>
          </w:tcPr>
          <w:p w14:paraId="0F850C98" w14:textId="77777777" w:rsidR="00E043A8" w:rsidRPr="00D16895" w:rsidRDefault="00E043A8" w:rsidP="00747B41">
            <w:pPr>
              <w:spacing w:after="0" w:line="240" w:lineRule="auto"/>
              <w:contextualSpacing/>
              <w:rPr>
                <w:rFonts w:ascii="Times New Roman" w:eastAsia="Times New Roman" w:hAnsi="Times New Roman" w:cs="Times New Roman"/>
                <w:i/>
                <w:color w:val="000000"/>
                <w:lang w:val="en-US" w:eastAsia="pl-PL"/>
              </w:rPr>
            </w:pPr>
            <w:r w:rsidRPr="00D16895">
              <w:rPr>
                <w:rFonts w:ascii="Times New Roman" w:eastAsia="Times New Roman" w:hAnsi="Times New Roman" w:cs="Times New Roman"/>
                <w:i/>
                <w:color w:val="000000"/>
                <w:lang w:val="en-US" w:eastAsia="pl-PL"/>
              </w:rPr>
              <w:t>EUROCASH</w:t>
            </w:r>
          </w:p>
        </w:tc>
        <w:tc>
          <w:tcPr>
            <w:tcW w:w="593" w:type="pct"/>
            <w:tcBorders>
              <w:top w:val="single" w:sz="6" w:space="0" w:color="auto"/>
              <w:left w:val="nil"/>
              <w:bottom w:val="single" w:sz="6" w:space="0" w:color="auto"/>
              <w:right w:val="nil"/>
            </w:tcBorders>
            <w:shd w:val="clear" w:color="auto" w:fill="auto"/>
            <w:noWrap/>
            <w:vAlign w:val="center"/>
            <w:hideMark/>
          </w:tcPr>
          <w:p w14:paraId="7E40CB87"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2.0612</w:t>
            </w:r>
          </w:p>
        </w:tc>
        <w:tc>
          <w:tcPr>
            <w:tcW w:w="628" w:type="pct"/>
            <w:tcBorders>
              <w:top w:val="single" w:sz="6" w:space="0" w:color="auto"/>
              <w:left w:val="nil"/>
              <w:bottom w:val="single" w:sz="6" w:space="0" w:color="auto"/>
              <w:right w:val="nil"/>
            </w:tcBorders>
            <w:shd w:val="clear" w:color="auto" w:fill="auto"/>
            <w:noWrap/>
            <w:vAlign w:val="center"/>
            <w:hideMark/>
          </w:tcPr>
          <w:p w14:paraId="16CCEF9C"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8.9143</w:t>
            </w:r>
          </w:p>
        </w:tc>
        <w:tc>
          <w:tcPr>
            <w:tcW w:w="538" w:type="pct"/>
            <w:tcBorders>
              <w:top w:val="single" w:sz="6" w:space="0" w:color="auto"/>
              <w:left w:val="nil"/>
              <w:bottom w:val="single" w:sz="6" w:space="0" w:color="auto"/>
              <w:right w:val="nil"/>
            </w:tcBorders>
            <w:shd w:val="clear" w:color="auto" w:fill="auto"/>
            <w:noWrap/>
            <w:vAlign w:val="center"/>
            <w:hideMark/>
          </w:tcPr>
          <w:p w14:paraId="4F10E6FF"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6.2884</w:t>
            </w:r>
          </w:p>
        </w:tc>
        <w:tc>
          <w:tcPr>
            <w:tcW w:w="594" w:type="pct"/>
            <w:tcBorders>
              <w:top w:val="single" w:sz="6" w:space="0" w:color="auto"/>
              <w:left w:val="nil"/>
              <w:bottom w:val="single" w:sz="6" w:space="0" w:color="auto"/>
              <w:right w:val="nil"/>
            </w:tcBorders>
            <w:shd w:val="clear" w:color="auto" w:fill="auto"/>
            <w:noWrap/>
            <w:vAlign w:val="center"/>
            <w:hideMark/>
          </w:tcPr>
          <w:p w14:paraId="567AAEBC"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-0.0965</w:t>
            </w:r>
          </w:p>
        </w:tc>
        <w:tc>
          <w:tcPr>
            <w:tcW w:w="721" w:type="pct"/>
            <w:tcBorders>
              <w:top w:val="single" w:sz="6" w:space="0" w:color="auto"/>
              <w:left w:val="nil"/>
              <w:bottom w:val="single" w:sz="6" w:space="0" w:color="auto"/>
              <w:right w:val="nil"/>
            </w:tcBorders>
            <w:shd w:val="clear" w:color="auto" w:fill="auto"/>
            <w:noWrap/>
            <w:vAlign w:val="center"/>
          </w:tcPr>
          <w:p w14:paraId="3B8E43EE"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-0.2345</w:t>
            </w:r>
          </w:p>
        </w:tc>
        <w:tc>
          <w:tcPr>
            <w:tcW w:w="1031" w:type="pct"/>
            <w:tcBorders>
              <w:top w:val="single" w:sz="6" w:space="0" w:color="auto"/>
              <w:left w:val="nil"/>
              <w:bottom w:val="single" w:sz="6" w:space="0" w:color="auto"/>
              <w:right w:val="nil"/>
            </w:tcBorders>
            <w:shd w:val="clear" w:color="auto" w:fill="auto"/>
            <w:noWrap/>
            <w:vAlign w:val="bottom"/>
            <w:hideMark/>
          </w:tcPr>
          <w:p w14:paraId="5BD0CEEF" w14:textId="77777777" w:rsidR="00E043A8" w:rsidRPr="00D16895"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Retail trade</w:t>
            </w:r>
          </w:p>
        </w:tc>
      </w:tr>
      <w:tr w:rsidR="00E043A8" w:rsidRPr="00D16895" w14:paraId="73B356FA" w14:textId="77777777" w:rsidTr="00E043A8">
        <w:trPr>
          <w:trHeight w:val="322"/>
        </w:trPr>
        <w:tc>
          <w:tcPr>
            <w:tcW w:w="895" w:type="pct"/>
            <w:tcBorders>
              <w:top w:val="single" w:sz="6" w:space="0" w:color="auto"/>
              <w:left w:val="nil"/>
              <w:bottom w:val="single" w:sz="6" w:space="0" w:color="auto"/>
              <w:right w:val="nil"/>
            </w:tcBorders>
            <w:shd w:val="clear" w:color="auto" w:fill="auto"/>
            <w:noWrap/>
            <w:vAlign w:val="center"/>
            <w:hideMark/>
          </w:tcPr>
          <w:p w14:paraId="2AC95560" w14:textId="77777777" w:rsidR="00E043A8" w:rsidRPr="00D16895" w:rsidRDefault="00E043A8" w:rsidP="00747B41">
            <w:pPr>
              <w:spacing w:after="0" w:line="240" w:lineRule="auto"/>
              <w:contextualSpacing/>
              <w:rPr>
                <w:rFonts w:ascii="Times New Roman" w:eastAsia="Times New Roman" w:hAnsi="Times New Roman" w:cs="Times New Roman"/>
                <w:i/>
                <w:color w:val="000000"/>
                <w:lang w:val="en-US" w:eastAsia="pl-PL"/>
              </w:rPr>
            </w:pPr>
            <w:r w:rsidRPr="00D16895">
              <w:rPr>
                <w:rFonts w:ascii="Times New Roman" w:eastAsia="Times New Roman" w:hAnsi="Times New Roman" w:cs="Times New Roman"/>
                <w:i/>
                <w:color w:val="000000"/>
                <w:lang w:val="en-US" w:eastAsia="pl-PL"/>
              </w:rPr>
              <w:t>SYNTHOS</w:t>
            </w:r>
          </w:p>
        </w:tc>
        <w:tc>
          <w:tcPr>
            <w:tcW w:w="593" w:type="pct"/>
            <w:tcBorders>
              <w:top w:val="single" w:sz="6" w:space="0" w:color="auto"/>
              <w:left w:val="nil"/>
              <w:bottom w:val="single" w:sz="6" w:space="0" w:color="auto"/>
              <w:right w:val="nil"/>
            </w:tcBorders>
            <w:shd w:val="clear" w:color="auto" w:fill="auto"/>
            <w:noWrap/>
            <w:vAlign w:val="center"/>
            <w:hideMark/>
          </w:tcPr>
          <w:p w14:paraId="08DCFAA7"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1.4172</w:t>
            </w:r>
          </w:p>
        </w:tc>
        <w:tc>
          <w:tcPr>
            <w:tcW w:w="628" w:type="pct"/>
            <w:tcBorders>
              <w:top w:val="single" w:sz="6" w:space="0" w:color="auto"/>
              <w:left w:val="nil"/>
              <w:bottom w:val="single" w:sz="6" w:space="0" w:color="auto"/>
              <w:right w:val="nil"/>
            </w:tcBorders>
            <w:shd w:val="clear" w:color="auto" w:fill="auto"/>
            <w:noWrap/>
            <w:vAlign w:val="center"/>
            <w:hideMark/>
          </w:tcPr>
          <w:p w14:paraId="208883AE"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12.4241</w:t>
            </w:r>
          </w:p>
        </w:tc>
        <w:tc>
          <w:tcPr>
            <w:tcW w:w="538" w:type="pct"/>
            <w:tcBorders>
              <w:top w:val="single" w:sz="6" w:space="0" w:color="auto"/>
              <w:left w:val="nil"/>
              <w:bottom w:val="single" w:sz="6" w:space="0" w:color="auto"/>
              <w:right w:val="nil"/>
            </w:tcBorders>
            <w:shd w:val="clear" w:color="auto" w:fill="auto"/>
            <w:noWrap/>
            <w:vAlign w:val="center"/>
            <w:hideMark/>
          </w:tcPr>
          <w:p w14:paraId="303067BA"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8.9549</w:t>
            </w:r>
          </w:p>
        </w:tc>
        <w:tc>
          <w:tcPr>
            <w:tcW w:w="594" w:type="pct"/>
            <w:tcBorders>
              <w:top w:val="single" w:sz="6" w:space="0" w:color="auto"/>
              <w:left w:val="nil"/>
              <w:bottom w:val="single" w:sz="6" w:space="0" w:color="auto"/>
              <w:right w:val="nil"/>
            </w:tcBorders>
            <w:shd w:val="clear" w:color="auto" w:fill="auto"/>
            <w:noWrap/>
            <w:vAlign w:val="center"/>
            <w:hideMark/>
          </w:tcPr>
          <w:p w14:paraId="4C082947"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-0.1983</w:t>
            </w:r>
          </w:p>
        </w:tc>
        <w:tc>
          <w:tcPr>
            <w:tcW w:w="721" w:type="pct"/>
            <w:tcBorders>
              <w:top w:val="single" w:sz="6" w:space="0" w:color="auto"/>
              <w:left w:val="nil"/>
              <w:bottom w:val="single" w:sz="6" w:space="0" w:color="auto"/>
              <w:right w:val="nil"/>
            </w:tcBorders>
            <w:shd w:val="clear" w:color="auto" w:fill="auto"/>
            <w:noWrap/>
            <w:vAlign w:val="center"/>
          </w:tcPr>
          <w:p w14:paraId="70247968"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0.7462</w:t>
            </w:r>
          </w:p>
        </w:tc>
        <w:tc>
          <w:tcPr>
            <w:tcW w:w="1031" w:type="pct"/>
            <w:tcBorders>
              <w:top w:val="single" w:sz="6" w:space="0" w:color="auto"/>
              <w:left w:val="nil"/>
              <w:bottom w:val="single" w:sz="6" w:space="0" w:color="auto"/>
              <w:right w:val="nil"/>
            </w:tcBorders>
            <w:shd w:val="clear" w:color="auto" w:fill="auto"/>
            <w:noWrap/>
            <w:vAlign w:val="bottom"/>
            <w:hideMark/>
          </w:tcPr>
          <w:p w14:paraId="42528B35" w14:textId="77777777" w:rsidR="00E043A8" w:rsidRPr="00D16895"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Chemicals</w:t>
            </w:r>
          </w:p>
        </w:tc>
      </w:tr>
      <w:tr w:rsidR="00E043A8" w:rsidRPr="00D16895" w14:paraId="773C830E" w14:textId="77777777" w:rsidTr="00E043A8">
        <w:trPr>
          <w:trHeight w:val="322"/>
        </w:trPr>
        <w:tc>
          <w:tcPr>
            <w:tcW w:w="895" w:type="pct"/>
            <w:tcBorders>
              <w:top w:val="single" w:sz="6" w:space="0" w:color="auto"/>
              <w:left w:val="nil"/>
              <w:bottom w:val="single" w:sz="6" w:space="0" w:color="auto"/>
              <w:right w:val="nil"/>
            </w:tcBorders>
            <w:shd w:val="clear" w:color="auto" w:fill="auto"/>
            <w:noWrap/>
            <w:vAlign w:val="center"/>
            <w:hideMark/>
          </w:tcPr>
          <w:p w14:paraId="421CB626" w14:textId="77777777" w:rsidR="00E043A8" w:rsidRPr="00D16895" w:rsidRDefault="00E043A8" w:rsidP="00747B41">
            <w:pPr>
              <w:spacing w:after="0" w:line="240" w:lineRule="auto"/>
              <w:contextualSpacing/>
              <w:rPr>
                <w:rFonts w:ascii="Times New Roman" w:eastAsia="Times New Roman" w:hAnsi="Times New Roman" w:cs="Times New Roman"/>
                <w:i/>
                <w:color w:val="000000"/>
                <w:lang w:val="en-US" w:eastAsia="pl-PL"/>
              </w:rPr>
            </w:pPr>
            <w:r w:rsidRPr="00D16895">
              <w:rPr>
                <w:rFonts w:ascii="Times New Roman" w:eastAsia="Times New Roman" w:hAnsi="Times New Roman" w:cs="Times New Roman"/>
                <w:i/>
                <w:color w:val="000000"/>
                <w:lang w:val="en-US" w:eastAsia="pl-PL"/>
              </w:rPr>
              <w:t>ASSECOPOL</w:t>
            </w:r>
          </w:p>
        </w:tc>
        <w:tc>
          <w:tcPr>
            <w:tcW w:w="593" w:type="pct"/>
            <w:tcBorders>
              <w:top w:val="single" w:sz="6" w:space="0" w:color="auto"/>
              <w:left w:val="nil"/>
              <w:bottom w:val="single" w:sz="6" w:space="0" w:color="auto"/>
              <w:right w:val="nil"/>
            </w:tcBorders>
            <w:shd w:val="clear" w:color="auto" w:fill="auto"/>
            <w:noWrap/>
            <w:vAlign w:val="center"/>
            <w:hideMark/>
          </w:tcPr>
          <w:p w14:paraId="6284970F"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0.5138</w:t>
            </w:r>
          </w:p>
        </w:tc>
        <w:tc>
          <w:tcPr>
            <w:tcW w:w="628" w:type="pct"/>
            <w:tcBorders>
              <w:top w:val="single" w:sz="6" w:space="0" w:color="auto"/>
              <w:left w:val="nil"/>
              <w:bottom w:val="single" w:sz="6" w:space="0" w:color="auto"/>
              <w:right w:val="nil"/>
            </w:tcBorders>
            <w:shd w:val="clear" w:color="auto" w:fill="auto"/>
            <w:noWrap/>
            <w:vAlign w:val="center"/>
            <w:hideMark/>
          </w:tcPr>
          <w:p w14:paraId="13A410B0"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7.8680</w:t>
            </w:r>
          </w:p>
        </w:tc>
        <w:tc>
          <w:tcPr>
            <w:tcW w:w="538" w:type="pct"/>
            <w:tcBorders>
              <w:top w:val="single" w:sz="6" w:space="0" w:color="auto"/>
              <w:left w:val="nil"/>
              <w:bottom w:val="single" w:sz="6" w:space="0" w:color="auto"/>
              <w:right w:val="nil"/>
            </w:tcBorders>
            <w:shd w:val="clear" w:color="auto" w:fill="auto"/>
            <w:noWrap/>
            <w:vAlign w:val="center"/>
            <w:hideMark/>
          </w:tcPr>
          <w:p w14:paraId="1820FB8B"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5.3328</w:t>
            </w:r>
          </w:p>
        </w:tc>
        <w:tc>
          <w:tcPr>
            <w:tcW w:w="594" w:type="pct"/>
            <w:tcBorders>
              <w:top w:val="single" w:sz="6" w:space="0" w:color="auto"/>
              <w:left w:val="nil"/>
              <w:bottom w:val="single" w:sz="6" w:space="0" w:color="auto"/>
              <w:right w:val="nil"/>
            </w:tcBorders>
            <w:shd w:val="clear" w:color="auto" w:fill="auto"/>
            <w:noWrap/>
            <w:vAlign w:val="center"/>
            <w:hideMark/>
          </w:tcPr>
          <w:p w14:paraId="445EC189"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0.1696</w:t>
            </w:r>
          </w:p>
        </w:tc>
        <w:tc>
          <w:tcPr>
            <w:tcW w:w="721" w:type="pct"/>
            <w:tcBorders>
              <w:top w:val="single" w:sz="6" w:space="0" w:color="auto"/>
              <w:left w:val="nil"/>
              <w:bottom w:val="single" w:sz="6" w:space="0" w:color="auto"/>
              <w:right w:val="nil"/>
            </w:tcBorders>
            <w:shd w:val="clear" w:color="auto" w:fill="auto"/>
            <w:noWrap/>
            <w:vAlign w:val="center"/>
          </w:tcPr>
          <w:p w14:paraId="02338DE6" w14:textId="77777777" w:rsidR="00E043A8" w:rsidRPr="00D16895"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1.8768</w:t>
            </w:r>
          </w:p>
        </w:tc>
        <w:tc>
          <w:tcPr>
            <w:tcW w:w="1031" w:type="pct"/>
            <w:tcBorders>
              <w:top w:val="single" w:sz="6" w:space="0" w:color="auto"/>
              <w:left w:val="nil"/>
              <w:bottom w:val="single" w:sz="6" w:space="0" w:color="auto"/>
              <w:right w:val="nil"/>
            </w:tcBorders>
            <w:shd w:val="clear" w:color="auto" w:fill="auto"/>
            <w:noWrap/>
            <w:vAlign w:val="bottom"/>
            <w:hideMark/>
          </w:tcPr>
          <w:p w14:paraId="0ED75DF7" w14:textId="77777777" w:rsidR="00E043A8" w:rsidRPr="00D16895" w:rsidRDefault="00E043A8" w:rsidP="00747B41">
            <w:pPr>
              <w:keepNext/>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IT</w:t>
            </w:r>
          </w:p>
        </w:tc>
      </w:tr>
    </w:tbl>
    <w:p w14:paraId="16F35093" w14:textId="69F81343" w:rsidR="00294702" w:rsidRPr="00B30FE4" w:rsidRDefault="00D16895" w:rsidP="00747B41">
      <w:pPr>
        <w:pStyle w:val="Legenda"/>
        <w:contextualSpacing/>
        <w:rPr>
          <w:rFonts w:ascii="Times New Roman" w:hAnsi="Times New Roman" w:cs="Times New Roman"/>
          <w:b w:val="0"/>
          <w:color w:val="auto"/>
          <w:sz w:val="20"/>
          <w:lang w:val="en-US"/>
        </w:rPr>
      </w:pPr>
      <w:r w:rsidRPr="00B30FE4">
        <w:rPr>
          <w:rFonts w:ascii="Times New Roman" w:hAnsi="Times New Roman" w:cs="Times New Roman"/>
          <w:b w:val="0"/>
          <w:color w:val="auto"/>
          <w:sz w:val="20"/>
          <w:lang w:val="en-US"/>
        </w:rPr>
        <w:lastRenderedPageBreak/>
        <w:t>Explanatory note: The values of kurtosis are reported as excess kurtosis (</w:t>
      </w:r>
      <w:proofErr w:type="spellStart"/>
      <w:r w:rsidRPr="00B30FE4">
        <w:rPr>
          <w:rFonts w:ascii="Times New Roman" w:hAnsi="Times New Roman" w:cs="Times New Roman"/>
          <w:b w:val="0"/>
          <w:color w:val="auto"/>
          <w:sz w:val="20"/>
          <w:lang w:val="en-US"/>
        </w:rPr>
        <w:t>i</w:t>
      </w:r>
      <w:proofErr w:type="spellEnd"/>
      <w:r w:rsidRPr="00B30FE4">
        <w:rPr>
          <w:rFonts w:ascii="Times New Roman" w:hAnsi="Times New Roman" w:cs="Times New Roman"/>
          <w:b w:val="0"/>
          <w:color w:val="auto"/>
          <w:sz w:val="20"/>
          <w:lang w:val="en-US"/>
        </w:rPr>
        <w:t>. e. for normal distribution they are equal to 0).</w:t>
      </w:r>
      <w:r w:rsidR="006509D1" w:rsidRPr="00B30FE4">
        <w:rPr>
          <w:rFonts w:ascii="Times New Roman" w:hAnsi="Times New Roman" w:cs="Times New Roman"/>
          <w:color w:val="auto"/>
          <w:sz w:val="20"/>
          <w:lang w:val="en-US"/>
        </w:rPr>
        <w:br/>
      </w:r>
      <w:r w:rsidR="00575E17" w:rsidRPr="00B30FE4">
        <w:rPr>
          <w:rFonts w:ascii="Times New Roman" w:hAnsi="Times New Roman" w:cs="Times New Roman"/>
          <w:b w:val="0"/>
          <w:color w:val="auto"/>
          <w:sz w:val="20"/>
          <w:lang w:val="en-US"/>
        </w:rPr>
        <w:t>Source: own calculations.</w:t>
      </w:r>
    </w:p>
    <w:p w14:paraId="0E898228" w14:textId="77777777" w:rsidR="000E75CA" w:rsidRDefault="00B532C4"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It shows that arithmetic average of the logarithmic monthly rates of return of the whole period (2005 - 2015) for all companies (except one) adopts positive values, including 8 companies where there are values less than 1. In turn the volatility expressed as a standard deviation (S) is very high, because all companies exceed the value 7. Volatility measured by a semi-standard deviation (S</w:t>
      </w:r>
      <w:r w:rsidR="00CD336E">
        <w:rPr>
          <w:rFonts w:ascii="Times New Roman" w:hAnsi="Times New Roman" w:cs="Times New Roman"/>
          <w:sz w:val="24"/>
          <w:szCs w:val="24"/>
          <w:lang w:val="en-US"/>
        </w:rPr>
        <w:t>S</w:t>
      </w:r>
      <w:r w:rsidRPr="00B30FE4">
        <w:rPr>
          <w:rFonts w:ascii="Times New Roman" w:hAnsi="Times New Roman" w:cs="Times New Roman"/>
          <w:sz w:val="24"/>
          <w:szCs w:val="24"/>
          <w:lang w:val="en-US"/>
        </w:rPr>
        <w:t>) is lower due to the fact that the calculation of the semi-deviation covers only the negative deviation</w:t>
      </w:r>
      <w:r w:rsidR="00B30FE4">
        <w:rPr>
          <w:rFonts w:ascii="Times New Roman" w:hAnsi="Times New Roman" w:cs="Times New Roman"/>
          <w:sz w:val="24"/>
          <w:szCs w:val="24"/>
          <w:lang w:val="en-US"/>
        </w:rPr>
        <w:t xml:space="preserve">s from the average. This large </w:t>
      </w:r>
      <w:r w:rsidRPr="00B30FE4">
        <w:rPr>
          <w:rFonts w:ascii="Times New Roman" w:hAnsi="Times New Roman" w:cs="Times New Roman"/>
          <w:sz w:val="24"/>
          <w:szCs w:val="24"/>
          <w:lang w:val="en-US"/>
        </w:rPr>
        <w:t>volatility is caused by several periods of growth and decline of the stock index, which can be seen in Figure 1. Tested distribution of the rates of return for the vast majority of companies (for 9 of 12) has the negative asymmetry (A is the given statistics standardized measure), this asymmetry, however, is not generally high. The values of kurtosis indicate that the distributions of the logarithmic rates of return for all companies (except one) are leptokurtic (for some companies there is high concentration around the average). In two cases it can be concluded that the distribution of the monthly logarithmic rate of return is normal (companies belonging to the oil sector).</w:t>
      </w:r>
      <w:r w:rsidR="002A625E" w:rsidRPr="00B30FE4">
        <w:rPr>
          <w:rFonts w:ascii="Times New Roman" w:hAnsi="Times New Roman" w:cs="Times New Roman"/>
          <w:sz w:val="24"/>
          <w:szCs w:val="24"/>
          <w:lang w:val="en-US"/>
        </w:rPr>
        <w:t xml:space="preserve"> </w:t>
      </w:r>
    </w:p>
    <w:p w14:paraId="1226C426" w14:textId="0F3F5C00" w:rsidR="000E75CA" w:rsidRDefault="004270E0"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 xml:space="preserve"> </w:t>
      </w:r>
      <w:r w:rsidR="000E75CA" w:rsidRPr="00B30FE4">
        <w:rPr>
          <w:rFonts w:ascii="Times New Roman" w:hAnsi="Times New Roman" w:cs="Times New Roman"/>
          <w:sz w:val="24"/>
          <w:szCs w:val="24"/>
          <w:lang w:val="en-US"/>
        </w:rPr>
        <w:t xml:space="preserve">For the companies from </w:t>
      </w:r>
      <w:r w:rsidR="000E75CA">
        <w:rPr>
          <w:rFonts w:ascii="Times New Roman" w:hAnsi="Times New Roman" w:cs="Times New Roman"/>
          <w:sz w:val="24"/>
          <w:szCs w:val="24"/>
          <w:lang w:val="en-US"/>
        </w:rPr>
        <w:t xml:space="preserve">mWIG40, sWIG80 and </w:t>
      </w:r>
      <w:proofErr w:type="spellStart"/>
      <w:r w:rsidR="00753304">
        <w:rPr>
          <w:rFonts w:ascii="Times New Roman" w:hAnsi="Times New Roman" w:cs="Times New Roman"/>
          <w:sz w:val="24"/>
          <w:szCs w:val="24"/>
          <w:lang w:val="en-US"/>
        </w:rPr>
        <w:t>WIGPlus</w:t>
      </w:r>
      <w:proofErr w:type="spellEnd"/>
      <w:r w:rsidR="000E75CA" w:rsidRPr="00B30FE4">
        <w:rPr>
          <w:rFonts w:ascii="Times New Roman" w:hAnsi="Times New Roman" w:cs="Times New Roman"/>
          <w:sz w:val="24"/>
          <w:szCs w:val="24"/>
          <w:lang w:val="en-US"/>
        </w:rPr>
        <w:t xml:space="preserve"> indexes there were carried out the same studies as for</w:t>
      </w:r>
      <w:r w:rsidR="00753304">
        <w:rPr>
          <w:rFonts w:ascii="Times New Roman" w:hAnsi="Times New Roman" w:cs="Times New Roman"/>
          <w:sz w:val="24"/>
          <w:szCs w:val="24"/>
          <w:lang w:val="en-US"/>
        </w:rPr>
        <w:t xml:space="preserve"> companies from the WIG20 index. Results</w:t>
      </w:r>
      <w:r w:rsidR="00753304" w:rsidRPr="00B30FE4">
        <w:rPr>
          <w:rFonts w:ascii="Times New Roman" w:hAnsi="Times New Roman" w:cs="Times New Roman"/>
          <w:sz w:val="24"/>
          <w:szCs w:val="24"/>
          <w:lang w:val="en-US"/>
        </w:rPr>
        <w:t xml:space="preserve"> indicate that the highest percentage of the companies from the mWIG40 index as well as the sWIG80 index has a positive arithmetic average of the monthly logarithmic rates of return but not exceeding 1 (respectively 48% and 53%), while for of the companies from the </w:t>
      </w:r>
      <w:proofErr w:type="spellStart"/>
      <w:r w:rsidR="00753304" w:rsidRPr="00B30FE4">
        <w:rPr>
          <w:rFonts w:ascii="Times New Roman" w:hAnsi="Times New Roman" w:cs="Times New Roman"/>
          <w:sz w:val="24"/>
          <w:szCs w:val="24"/>
          <w:lang w:val="en-US"/>
        </w:rPr>
        <w:t>WIGPlus</w:t>
      </w:r>
      <w:proofErr w:type="spellEnd"/>
      <w:r w:rsidR="00753304" w:rsidRPr="00B30FE4">
        <w:rPr>
          <w:rFonts w:ascii="Times New Roman" w:hAnsi="Times New Roman" w:cs="Times New Roman"/>
          <w:sz w:val="24"/>
          <w:szCs w:val="24"/>
          <w:lang w:val="en-US"/>
        </w:rPr>
        <w:t xml:space="preserve"> index for 45% of companies this average has a negative value. A similar average value as the companies from the mWIG40 and sWIG80 indexes had the companies from the WIG20 index. It is worth noting that 88% of the companies from the mWIG40 index and 73% of the companies from the sWIG80 index have a positive arithmetic average. Regarding the investment risk (measured by a standard deviation) the largest percentage of companies of all indexes has a risk at the level of 10 - 15. The same applies to the semi-standard deviation, except that its value (which is understandable) is lower (since it is contained in the range of 7 to 10). It is </w:t>
      </w:r>
      <w:r w:rsidR="00F45A39">
        <w:rPr>
          <w:rFonts w:ascii="Times New Roman" w:hAnsi="Times New Roman" w:cs="Times New Roman"/>
          <w:sz w:val="24"/>
          <w:szCs w:val="24"/>
          <w:lang w:val="en-US"/>
        </w:rPr>
        <w:t xml:space="preserve">also </w:t>
      </w:r>
      <w:r w:rsidR="00753304" w:rsidRPr="00B30FE4">
        <w:rPr>
          <w:rFonts w:ascii="Times New Roman" w:hAnsi="Times New Roman" w:cs="Times New Roman"/>
          <w:sz w:val="24"/>
          <w:szCs w:val="24"/>
          <w:lang w:val="en-US"/>
        </w:rPr>
        <w:t xml:space="preserve">worth noting that the percentage of the companies from the mWIG40 index having the values </w:t>
      </w:r>
      <w:proofErr w:type="gramStart"/>
      <w:r w:rsidR="00753304" w:rsidRPr="00B30FE4">
        <w:rPr>
          <w:rFonts w:ascii="Times New Roman" w:hAnsi="Times New Roman" w:cs="Times New Roman"/>
          <w:sz w:val="24"/>
          <w:szCs w:val="24"/>
          <w:lang w:val="en-US"/>
        </w:rPr>
        <w:t>of  S</w:t>
      </w:r>
      <w:proofErr w:type="gramEnd"/>
      <w:r w:rsidR="00753304" w:rsidRPr="00B30FE4">
        <w:rPr>
          <w:rFonts w:ascii="Times New Roman" w:hAnsi="Times New Roman" w:cs="Times New Roman"/>
          <w:sz w:val="24"/>
          <w:szCs w:val="24"/>
          <w:lang w:val="en-US"/>
        </w:rPr>
        <w:t xml:space="preserve"> and SS of the above ranges is higher (56% and 60%) than percentages of the companies from the sWIG80 and the </w:t>
      </w:r>
      <w:proofErr w:type="spellStart"/>
      <w:r w:rsidR="00753304" w:rsidRPr="00B30FE4">
        <w:rPr>
          <w:rFonts w:ascii="Times New Roman" w:hAnsi="Times New Roman" w:cs="Times New Roman"/>
          <w:sz w:val="24"/>
          <w:szCs w:val="24"/>
          <w:lang w:val="en-US"/>
        </w:rPr>
        <w:t>WIGPlus</w:t>
      </w:r>
      <w:proofErr w:type="spellEnd"/>
      <w:r w:rsidR="00753304" w:rsidRPr="00B30FE4">
        <w:rPr>
          <w:rFonts w:ascii="Times New Roman" w:hAnsi="Times New Roman" w:cs="Times New Roman"/>
          <w:sz w:val="24"/>
          <w:szCs w:val="24"/>
          <w:lang w:val="en-US"/>
        </w:rPr>
        <w:t xml:space="preserve"> indexes (respectively 46% and 37% as well as 53% and 47%), which would mean that the variability of the rates of return of the companies from the mWIG40 index (and therefore larger in terms of the market capitalization) is higher. On the other </w:t>
      </w:r>
      <w:proofErr w:type="gramStart"/>
      <w:r w:rsidR="00753304" w:rsidRPr="00B30FE4">
        <w:rPr>
          <w:rFonts w:ascii="Times New Roman" w:hAnsi="Times New Roman" w:cs="Times New Roman"/>
          <w:sz w:val="24"/>
          <w:szCs w:val="24"/>
          <w:lang w:val="en-US"/>
        </w:rPr>
        <w:t>hand</w:t>
      </w:r>
      <w:proofErr w:type="gramEnd"/>
      <w:r w:rsidR="00753304" w:rsidRPr="00B30FE4">
        <w:rPr>
          <w:rFonts w:ascii="Times New Roman" w:hAnsi="Times New Roman" w:cs="Times New Roman"/>
          <w:sz w:val="24"/>
          <w:szCs w:val="24"/>
          <w:lang w:val="en-US"/>
        </w:rPr>
        <w:t xml:space="preserve"> we can say that 64% of the companies with the mWIG40 and sWIG80 indexes have no asymmetry in the distribution of the rate of retu</w:t>
      </w:r>
      <w:r w:rsidR="00753304">
        <w:rPr>
          <w:rFonts w:ascii="Times New Roman" w:hAnsi="Times New Roman" w:cs="Times New Roman"/>
          <w:sz w:val="24"/>
          <w:szCs w:val="24"/>
          <w:lang w:val="en-US"/>
        </w:rPr>
        <w:t>rn (the values of </w:t>
      </w:r>
      <w:r w:rsidR="00753304" w:rsidRPr="00B30FE4">
        <w:rPr>
          <w:rFonts w:ascii="Times New Roman" w:hAnsi="Times New Roman" w:cs="Times New Roman"/>
          <w:sz w:val="24"/>
          <w:szCs w:val="24"/>
          <w:lang w:val="en-US"/>
        </w:rPr>
        <w:t>A are in the range f</w:t>
      </w:r>
      <w:r w:rsidR="00753304">
        <w:rPr>
          <w:rFonts w:ascii="Times New Roman" w:hAnsi="Times New Roman" w:cs="Times New Roman"/>
          <w:sz w:val="24"/>
          <w:szCs w:val="24"/>
          <w:lang w:val="en-US"/>
        </w:rPr>
        <w:t>rom -0.5 to 0.5). For the</w:t>
      </w:r>
      <w:r w:rsidR="00753304" w:rsidRPr="00B30FE4">
        <w:rPr>
          <w:rFonts w:ascii="Times New Roman" w:hAnsi="Times New Roman" w:cs="Times New Roman"/>
          <w:sz w:val="24"/>
          <w:szCs w:val="24"/>
          <w:lang w:val="en-US"/>
        </w:rPr>
        <w:t xml:space="preserve"> companies from the </w:t>
      </w:r>
      <w:proofErr w:type="spellStart"/>
      <w:r w:rsidR="00753304" w:rsidRPr="00B30FE4">
        <w:rPr>
          <w:rFonts w:ascii="Times New Roman" w:hAnsi="Times New Roman" w:cs="Times New Roman"/>
          <w:sz w:val="24"/>
          <w:szCs w:val="24"/>
          <w:lang w:val="en-US"/>
        </w:rPr>
        <w:t>WIGPlus</w:t>
      </w:r>
      <w:proofErr w:type="spellEnd"/>
      <w:r w:rsidR="00753304" w:rsidRPr="00B30FE4">
        <w:rPr>
          <w:rFonts w:ascii="Times New Roman" w:hAnsi="Times New Roman" w:cs="Times New Roman"/>
          <w:sz w:val="24"/>
          <w:szCs w:val="24"/>
          <w:lang w:val="en-US"/>
        </w:rPr>
        <w:t xml:space="preserve"> index it is 45% of the companies. For this index 42% of the companies have right-sided asymmetry above 0.5. The obtained values kurtosis </w:t>
      </w:r>
      <w:proofErr w:type="gramStart"/>
      <w:r w:rsidR="00753304" w:rsidRPr="00B30FE4">
        <w:rPr>
          <w:rFonts w:ascii="Times New Roman" w:hAnsi="Times New Roman" w:cs="Times New Roman"/>
          <w:sz w:val="24"/>
          <w:szCs w:val="24"/>
          <w:lang w:val="en-US"/>
        </w:rPr>
        <w:t>indicate</w:t>
      </w:r>
      <w:proofErr w:type="gramEnd"/>
      <w:r w:rsidR="00753304" w:rsidRPr="00B30FE4">
        <w:rPr>
          <w:rFonts w:ascii="Times New Roman" w:hAnsi="Times New Roman" w:cs="Times New Roman"/>
          <w:sz w:val="24"/>
          <w:szCs w:val="24"/>
          <w:lang w:val="en-US"/>
        </w:rPr>
        <w:t xml:space="preserve"> that the vast majority of companies belonging to all indices have series of the rates of return more concentrated around the average than the normal distribution (kurtosis values greater than 1). However, it is worth noting that 32% of the companies from the mWIG40 index and 23% of the companies from the sWIG80 index has a distribution similar to a large extent to a normal distribution. We can venture to say that the larger the company, the higher the percentage of the companies from the relevant index has a distribution close to normal.</w:t>
      </w:r>
    </w:p>
    <w:p w14:paraId="19AB1534" w14:textId="16B7F8E0" w:rsidR="00753304" w:rsidRDefault="00254C85" w:rsidP="00747B41">
      <w:pPr>
        <w:ind w:firstLine="42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Assumption of normality of distribution was tested using common tests of </w:t>
      </w:r>
      <w:proofErr w:type="spellStart"/>
      <w:r>
        <w:rPr>
          <w:rFonts w:ascii="Times New Roman" w:hAnsi="Times New Roman" w:cs="Times New Roman"/>
          <w:sz w:val="24"/>
          <w:szCs w:val="24"/>
          <w:lang w:val="en-US"/>
        </w:rPr>
        <w:t>Jarque-Bera</w:t>
      </w:r>
      <w:proofErr w:type="spellEnd"/>
      <w:r>
        <w:rPr>
          <w:rFonts w:ascii="Times New Roman" w:hAnsi="Times New Roman" w:cs="Times New Roman"/>
          <w:sz w:val="24"/>
          <w:szCs w:val="24"/>
          <w:lang w:val="en-US"/>
        </w:rPr>
        <w:t xml:space="preserve"> and Shapiro-</w:t>
      </w:r>
      <w:proofErr w:type="spellStart"/>
      <w:r>
        <w:rPr>
          <w:rFonts w:ascii="Times New Roman" w:hAnsi="Times New Roman" w:cs="Times New Roman"/>
          <w:sz w:val="24"/>
          <w:szCs w:val="24"/>
          <w:lang w:val="en-US"/>
        </w:rPr>
        <w:t>Wilk</w:t>
      </w:r>
      <w:proofErr w:type="spellEnd"/>
      <w:r>
        <w:rPr>
          <w:rFonts w:ascii="Times New Roman" w:hAnsi="Times New Roman" w:cs="Times New Roman"/>
          <w:sz w:val="24"/>
          <w:szCs w:val="24"/>
          <w:lang w:val="en-US"/>
        </w:rPr>
        <w:t>. A</w:t>
      </w:r>
      <w:r w:rsidRPr="00B30FE4">
        <w:rPr>
          <w:rFonts w:ascii="Times New Roman" w:hAnsi="Times New Roman" w:cs="Times New Roman"/>
          <w:sz w:val="24"/>
          <w:szCs w:val="24"/>
          <w:lang w:val="en-US"/>
        </w:rPr>
        <w:t xml:space="preserve">ccording to both applied tests the distribution of the monthly logarithmic rate of return from shares for 8 companies </w:t>
      </w:r>
      <w:r>
        <w:rPr>
          <w:rFonts w:ascii="Times New Roman" w:hAnsi="Times New Roman" w:cs="Times New Roman"/>
          <w:sz w:val="24"/>
          <w:szCs w:val="24"/>
          <w:lang w:val="en-US"/>
        </w:rPr>
        <w:t xml:space="preserve">belonging to WIG20 index </w:t>
      </w:r>
      <w:r w:rsidRPr="00B30FE4">
        <w:rPr>
          <w:rFonts w:ascii="Times New Roman" w:hAnsi="Times New Roman" w:cs="Times New Roman"/>
          <w:sz w:val="24"/>
          <w:szCs w:val="24"/>
          <w:lang w:val="en-US"/>
        </w:rPr>
        <w:t>is not a normal distribution</w:t>
      </w:r>
      <w:r>
        <w:rPr>
          <w:rFonts w:ascii="Times New Roman" w:hAnsi="Times New Roman" w:cs="Times New Roman"/>
          <w:sz w:val="24"/>
          <w:szCs w:val="24"/>
          <w:lang w:val="en-US"/>
        </w:rPr>
        <w:t xml:space="preserve">. </w:t>
      </w:r>
      <w:r w:rsidRPr="00B30FE4">
        <w:rPr>
          <w:rFonts w:ascii="Times New Roman" w:hAnsi="Times New Roman" w:cs="Times New Roman"/>
          <w:sz w:val="24"/>
          <w:szCs w:val="24"/>
          <w:lang w:val="en-US"/>
        </w:rPr>
        <w:t xml:space="preserve">In fact, this study confirms the results presented in Table 1 referring to asymmetry and also for </w:t>
      </w:r>
      <w:r w:rsidRPr="00B30FE4">
        <w:rPr>
          <w:rFonts w:ascii="Times New Roman" w:hAnsi="Times New Roman" w:cs="Times New Roman"/>
          <w:sz w:val="24"/>
          <w:szCs w:val="24"/>
          <w:lang w:val="en-US"/>
        </w:rPr>
        <w:lastRenderedPageBreak/>
        <w:t xml:space="preserve">the kurtosis in relation to </w:t>
      </w:r>
      <w:proofErr w:type="spellStart"/>
      <w:r w:rsidRPr="00B30FE4">
        <w:rPr>
          <w:rFonts w:ascii="Times New Roman" w:hAnsi="Times New Roman" w:cs="Times New Roman"/>
          <w:sz w:val="24"/>
          <w:szCs w:val="24"/>
          <w:lang w:val="en-US"/>
        </w:rPr>
        <w:t>PGNiG</w:t>
      </w:r>
      <w:proofErr w:type="spellEnd"/>
      <w:r w:rsidRPr="00B30FE4">
        <w:rPr>
          <w:rFonts w:ascii="Times New Roman" w:hAnsi="Times New Roman" w:cs="Times New Roman"/>
          <w:sz w:val="24"/>
          <w:szCs w:val="24"/>
          <w:lang w:val="en-US"/>
        </w:rPr>
        <w:t xml:space="preserve"> and PKNORLEN companies.</w:t>
      </w:r>
      <w:r>
        <w:rPr>
          <w:rFonts w:ascii="Times New Roman" w:hAnsi="Times New Roman" w:cs="Times New Roman"/>
          <w:sz w:val="24"/>
          <w:szCs w:val="24"/>
          <w:lang w:val="en-US"/>
        </w:rPr>
        <w:t xml:space="preserve"> </w:t>
      </w:r>
      <w:r w:rsidR="00753304">
        <w:rPr>
          <w:rFonts w:ascii="Times New Roman" w:hAnsi="Times New Roman" w:cs="Times New Roman"/>
          <w:sz w:val="24"/>
          <w:szCs w:val="24"/>
          <w:lang w:val="en-US"/>
        </w:rPr>
        <w:t xml:space="preserve">Normality tests conducted for </w:t>
      </w:r>
      <w:r w:rsidR="00753304" w:rsidRPr="00B30FE4">
        <w:rPr>
          <w:rFonts w:ascii="Times New Roman" w:hAnsi="Times New Roman" w:cs="Times New Roman"/>
          <w:sz w:val="24"/>
          <w:szCs w:val="24"/>
          <w:lang w:val="en-US"/>
        </w:rPr>
        <w:t xml:space="preserve">the companies from </w:t>
      </w:r>
      <w:r w:rsidR="00753304">
        <w:rPr>
          <w:rFonts w:ascii="Times New Roman" w:hAnsi="Times New Roman" w:cs="Times New Roman"/>
          <w:sz w:val="24"/>
          <w:szCs w:val="24"/>
          <w:lang w:val="en-US"/>
        </w:rPr>
        <w:t xml:space="preserve">mWIG40, sWIG80 and </w:t>
      </w:r>
      <w:proofErr w:type="spellStart"/>
      <w:r w:rsidR="00753304">
        <w:rPr>
          <w:rFonts w:ascii="Times New Roman" w:hAnsi="Times New Roman" w:cs="Times New Roman"/>
          <w:sz w:val="24"/>
          <w:szCs w:val="24"/>
          <w:lang w:val="en-US"/>
        </w:rPr>
        <w:t>WIGPlus</w:t>
      </w:r>
      <w:proofErr w:type="spellEnd"/>
      <w:r w:rsidR="00753304" w:rsidRPr="00B30FE4">
        <w:rPr>
          <w:rFonts w:ascii="Times New Roman" w:hAnsi="Times New Roman" w:cs="Times New Roman"/>
          <w:sz w:val="24"/>
          <w:szCs w:val="24"/>
          <w:lang w:val="en-US"/>
        </w:rPr>
        <w:t xml:space="preserve"> indexes </w:t>
      </w:r>
      <w:r w:rsidR="00753304">
        <w:rPr>
          <w:rFonts w:ascii="Times New Roman" w:hAnsi="Times New Roman" w:cs="Times New Roman"/>
          <w:sz w:val="24"/>
          <w:szCs w:val="24"/>
          <w:lang w:val="en-US"/>
        </w:rPr>
        <w:t>indicate</w:t>
      </w:r>
      <w:r w:rsidR="00753304" w:rsidRPr="00B30FE4">
        <w:rPr>
          <w:rFonts w:ascii="Times New Roman" w:hAnsi="Times New Roman" w:cs="Times New Roman"/>
          <w:sz w:val="24"/>
          <w:szCs w:val="24"/>
          <w:lang w:val="en-US"/>
        </w:rPr>
        <w:t xml:space="preserve"> that in the vast majority of companies (over 64% for the level of significance of 0.05), the distribution of the rates of return is not a normal distribution, while for companies with smaller market capitalization this percentage increases (e.g. to almost 86% for of the companies from the </w:t>
      </w:r>
      <w:proofErr w:type="spellStart"/>
      <w:r w:rsidR="00753304" w:rsidRPr="00B30FE4">
        <w:rPr>
          <w:rFonts w:ascii="Times New Roman" w:hAnsi="Times New Roman" w:cs="Times New Roman"/>
          <w:sz w:val="24"/>
          <w:szCs w:val="24"/>
          <w:lang w:val="en-US"/>
        </w:rPr>
        <w:t>WIGPlus</w:t>
      </w:r>
      <w:proofErr w:type="spellEnd"/>
      <w:r w:rsidR="00753304" w:rsidRPr="00B30FE4">
        <w:rPr>
          <w:rFonts w:ascii="Times New Roman" w:hAnsi="Times New Roman" w:cs="Times New Roman"/>
          <w:sz w:val="24"/>
          <w:szCs w:val="24"/>
          <w:lang w:val="en-US"/>
        </w:rPr>
        <w:t xml:space="preserve"> index). We may also note that the two applied test</w:t>
      </w:r>
      <w:r w:rsidR="00753304">
        <w:rPr>
          <w:rFonts w:ascii="Times New Roman" w:hAnsi="Times New Roman" w:cs="Times New Roman"/>
          <w:sz w:val="24"/>
          <w:szCs w:val="24"/>
          <w:lang w:val="en-US"/>
        </w:rPr>
        <w:t>s</w:t>
      </w:r>
      <w:r w:rsidR="00753304" w:rsidRPr="00B30FE4">
        <w:rPr>
          <w:rFonts w:ascii="Times New Roman" w:hAnsi="Times New Roman" w:cs="Times New Roman"/>
          <w:sz w:val="24"/>
          <w:szCs w:val="24"/>
          <w:lang w:val="en-US"/>
        </w:rPr>
        <w:t xml:space="preserve"> brought very similar results.</w:t>
      </w:r>
    </w:p>
    <w:p w14:paraId="135657FA" w14:textId="57094414" w:rsidR="000E75CA" w:rsidRDefault="00254C85" w:rsidP="00747B41">
      <w:pPr>
        <w:ind w:firstLine="42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stationarity of time series was also tested in our study. On the basis of augmented Dickey-Fuller test, we can conclude that </w:t>
      </w:r>
      <w:r w:rsidR="000E75CA" w:rsidRPr="00B30FE4">
        <w:rPr>
          <w:rFonts w:ascii="Times New Roman" w:hAnsi="Times New Roman" w:cs="Times New Roman"/>
          <w:sz w:val="24"/>
          <w:szCs w:val="24"/>
          <w:lang w:val="en-US"/>
        </w:rPr>
        <w:t xml:space="preserve">for all examined companies belonging to </w:t>
      </w:r>
      <w:r w:rsidR="00753304">
        <w:rPr>
          <w:rFonts w:ascii="Times New Roman" w:hAnsi="Times New Roman" w:cs="Times New Roman"/>
          <w:sz w:val="24"/>
          <w:szCs w:val="24"/>
          <w:lang w:val="en-US"/>
        </w:rPr>
        <w:t xml:space="preserve">all of </w:t>
      </w:r>
      <w:r w:rsidR="000E75CA" w:rsidRPr="00B30FE4">
        <w:rPr>
          <w:rFonts w:ascii="Times New Roman" w:hAnsi="Times New Roman" w:cs="Times New Roman"/>
          <w:sz w:val="24"/>
          <w:szCs w:val="24"/>
          <w:lang w:val="en-US"/>
        </w:rPr>
        <w:t xml:space="preserve">the </w:t>
      </w:r>
      <w:r w:rsidR="00753304">
        <w:rPr>
          <w:rFonts w:ascii="Times New Roman" w:hAnsi="Times New Roman" w:cs="Times New Roman"/>
          <w:sz w:val="24"/>
          <w:szCs w:val="24"/>
          <w:lang w:val="en-US"/>
        </w:rPr>
        <w:t>surveyed indexes</w:t>
      </w:r>
      <w:r w:rsidR="000E75CA" w:rsidRPr="00B30FE4">
        <w:rPr>
          <w:rFonts w:ascii="Times New Roman" w:hAnsi="Times New Roman" w:cs="Times New Roman"/>
          <w:sz w:val="24"/>
          <w:szCs w:val="24"/>
          <w:lang w:val="en-US"/>
        </w:rPr>
        <w:t xml:space="preserve"> a series of the monthly logarithmic rate of return from shares is a stationary series. This means that there should not be any major complications in the correct estimation of the beta parameter as well as its basic characteristics, for</w:t>
      </w:r>
      <w:r w:rsidR="00753304">
        <w:rPr>
          <w:rFonts w:ascii="Times New Roman" w:hAnsi="Times New Roman" w:cs="Times New Roman"/>
          <w:sz w:val="24"/>
          <w:szCs w:val="24"/>
          <w:lang w:val="en-US"/>
        </w:rPr>
        <w:t xml:space="preserve"> example measure of dispersion.</w:t>
      </w:r>
    </w:p>
    <w:p w14:paraId="4E19EC48" w14:textId="4369F775" w:rsidR="00D105D4" w:rsidRPr="00747B41" w:rsidRDefault="00D105D4"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 xml:space="preserve">In a further step of the carried out research it was subjected to statistical verification of the hypothesis whether the expected rate of return from shares of the surveyed company is significantly different from zero and whether the expected rate of return is significantly different from the rate of return from the stock market index to which the company was classified. In latter case, </w:t>
      </w:r>
      <w:r w:rsidR="00FC4B8F">
        <w:rPr>
          <w:rFonts w:ascii="Times New Roman" w:hAnsi="Times New Roman" w:cs="Times New Roman"/>
          <w:sz w:val="24"/>
          <w:szCs w:val="24"/>
          <w:lang w:val="en-US"/>
        </w:rPr>
        <w:t xml:space="preserve">we </w:t>
      </w:r>
      <w:r w:rsidRPr="00B30FE4">
        <w:rPr>
          <w:rFonts w:ascii="Times New Roman" w:hAnsi="Times New Roman" w:cs="Times New Roman"/>
          <w:sz w:val="24"/>
          <w:szCs w:val="24"/>
          <w:lang w:val="en-US"/>
        </w:rPr>
        <w:t xml:space="preserve">test whether there is a statistically significant difference in the two series of the rates of return. </w:t>
      </w:r>
      <w:r w:rsidR="00753304" w:rsidRPr="00B30FE4">
        <w:rPr>
          <w:rFonts w:ascii="Times New Roman" w:hAnsi="Times New Roman" w:cs="Times New Roman"/>
          <w:sz w:val="24"/>
          <w:szCs w:val="24"/>
          <w:lang w:val="en-US"/>
        </w:rPr>
        <w:t>Presented in the table values indicate that the expected monthly logarithmic rate of return from shares for 10 out of 12 companies does not differ significantly (for the level α = 0.05) from zero, and also this rate for 10 out of 12 c</w:t>
      </w:r>
      <w:r w:rsidR="00753304">
        <w:rPr>
          <w:rFonts w:ascii="Times New Roman" w:hAnsi="Times New Roman" w:cs="Times New Roman"/>
          <w:sz w:val="24"/>
          <w:szCs w:val="24"/>
          <w:lang w:val="en-US"/>
        </w:rPr>
        <w:t xml:space="preserve">ompanies </w:t>
      </w:r>
      <w:r w:rsidR="00753304" w:rsidRPr="00B30FE4">
        <w:rPr>
          <w:rFonts w:ascii="Times New Roman" w:hAnsi="Times New Roman" w:cs="Times New Roman"/>
          <w:sz w:val="24"/>
          <w:szCs w:val="24"/>
          <w:lang w:val="en-US"/>
        </w:rPr>
        <w:t xml:space="preserve">is not significantly different from the expected rate of return from the WIG20 index. </w:t>
      </w:r>
      <w:r w:rsidR="009F3D10">
        <w:rPr>
          <w:rFonts w:ascii="Times New Roman" w:hAnsi="Times New Roman" w:cs="Times New Roman"/>
          <w:sz w:val="24"/>
          <w:szCs w:val="24"/>
          <w:lang w:val="en-US"/>
        </w:rPr>
        <w:t>From the results obtained for all remaining indexes</w:t>
      </w:r>
      <w:r w:rsidR="004C06CB">
        <w:rPr>
          <w:rFonts w:ascii="Times New Roman" w:hAnsi="Times New Roman" w:cs="Times New Roman"/>
          <w:sz w:val="24"/>
          <w:szCs w:val="24"/>
          <w:lang w:val="en-US"/>
        </w:rPr>
        <w:t xml:space="preserve"> w</w:t>
      </w:r>
      <w:r w:rsidR="000E407B" w:rsidRPr="00B30FE4">
        <w:rPr>
          <w:rFonts w:ascii="Times New Roman" w:hAnsi="Times New Roman" w:cs="Times New Roman"/>
          <w:sz w:val="24"/>
          <w:szCs w:val="24"/>
          <w:lang w:val="en-US"/>
        </w:rPr>
        <w:t xml:space="preserve">e can conclude that the company has a higher market capitalization </w:t>
      </w:r>
      <w:r w:rsidR="000E407B">
        <w:rPr>
          <w:rFonts w:ascii="Times New Roman" w:hAnsi="Times New Roman" w:cs="Times New Roman"/>
          <w:sz w:val="24"/>
          <w:szCs w:val="24"/>
          <w:lang w:val="en-US"/>
        </w:rPr>
        <w:t xml:space="preserve">the </w:t>
      </w:r>
      <w:r w:rsidR="000E407B" w:rsidRPr="00B30FE4">
        <w:rPr>
          <w:rFonts w:ascii="Times New Roman" w:hAnsi="Times New Roman" w:cs="Times New Roman"/>
          <w:sz w:val="24"/>
          <w:szCs w:val="24"/>
          <w:lang w:val="en-US"/>
        </w:rPr>
        <w:t xml:space="preserve">including percentage of rejection of the null hypothesis of the equal rate of return of zero or the rate of return </w:t>
      </w:r>
      <w:r w:rsidR="000E407B">
        <w:rPr>
          <w:rFonts w:ascii="Times New Roman" w:hAnsi="Times New Roman" w:cs="Times New Roman"/>
          <w:sz w:val="24"/>
          <w:szCs w:val="24"/>
          <w:lang w:val="en-US"/>
        </w:rPr>
        <w:t>of the relevant index is higher.</w:t>
      </w:r>
      <w:r w:rsidR="00747B41">
        <w:rPr>
          <w:rFonts w:ascii="Times New Roman" w:hAnsi="Times New Roman" w:cs="Times New Roman"/>
          <w:sz w:val="24"/>
          <w:szCs w:val="24"/>
          <w:lang w:val="en-US"/>
        </w:rPr>
        <w:t xml:space="preserve"> </w:t>
      </w:r>
    </w:p>
    <w:p w14:paraId="74D5E830" w14:textId="5680742E" w:rsidR="000E407B" w:rsidRDefault="005416B2"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The last verified hypothesis was the hypothesis of equality between the variances of the monthly logarithmic rate of return from shares of a given company and the variance of the rate of return from the stock market index to which the company is classified</w:t>
      </w:r>
      <w:r w:rsidR="000E407B">
        <w:rPr>
          <w:rFonts w:ascii="Times New Roman" w:hAnsi="Times New Roman" w:cs="Times New Roman"/>
          <w:sz w:val="24"/>
          <w:szCs w:val="24"/>
          <w:lang w:val="en-US"/>
        </w:rPr>
        <w:t xml:space="preserve">. </w:t>
      </w:r>
      <w:r w:rsidRPr="00B30FE4">
        <w:rPr>
          <w:rFonts w:ascii="Times New Roman" w:hAnsi="Times New Roman" w:cs="Times New Roman"/>
          <w:sz w:val="24"/>
          <w:szCs w:val="24"/>
          <w:lang w:val="en-US"/>
        </w:rPr>
        <w:t>The verification of such formulated hypothesis is made on the basis of the statistics</w:t>
      </w:r>
      <w:r w:rsidR="000E407B">
        <w:rPr>
          <w:rFonts w:ascii="Times New Roman" w:hAnsi="Times New Roman" w:cs="Times New Roman"/>
          <w:sz w:val="24"/>
          <w:szCs w:val="24"/>
          <w:lang w:val="en-US"/>
        </w:rPr>
        <w:t xml:space="preserve"> of the Fisher - </w:t>
      </w:r>
      <w:proofErr w:type="spellStart"/>
      <w:r w:rsidR="000E407B">
        <w:rPr>
          <w:rFonts w:ascii="Times New Roman" w:hAnsi="Times New Roman" w:cs="Times New Roman"/>
          <w:sz w:val="24"/>
          <w:szCs w:val="24"/>
          <w:lang w:val="en-US"/>
        </w:rPr>
        <w:t>Snedecor</w:t>
      </w:r>
      <w:proofErr w:type="spellEnd"/>
      <w:r w:rsidR="000E407B">
        <w:rPr>
          <w:rFonts w:ascii="Times New Roman" w:hAnsi="Times New Roman" w:cs="Times New Roman"/>
          <w:sz w:val="24"/>
          <w:szCs w:val="24"/>
          <w:lang w:val="en-US"/>
        </w:rPr>
        <w:t xml:space="preserve"> test. Obtained results</w:t>
      </w:r>
      <w:r w:rsidR="000E407B" w:rsidRPr="00B30FE4">
        <w:rPr>
          <w:rFonts w:ascii="Times New Roman" w:hAnsi="Times New Roman" w:cs="Times New Roman"/>
          <w:sz w:val="24"/>
          <w:szCs w:val="24"/>
          <w:lang w:val="en-US"/>
        </w:rPr>
        <w:t xml:space="preserve"> indicate that for</w:t>
      </w:r>
      <w:r w:rsidR="000E407B">
        <w:rPr>
          <w:rFonts w:ascii="Times New Roman" w:hAnsi="Times New Roman" w:cs="Times New Roman"/>
          <w:sz w:val="24"/>
          <w:szCs w:val="24"/>
          <w:lang w:val="en-US"/>
        </w:rPr>
        <w:t xml:space="preserve"> almost all companies</w:t>
      </w:r>
      <w:r w:rsidR="000E407B" w:rsidRPr="00B30FE4">
        <w:rPr>
          <w:rFonts w:ascii="Times New Roman" w:hAnsi="Times New Roman" w:cs="Times New Roman"/>
          <w:sz w:val="24"/>
          <w:szCs w:val="24"/>
          <w:lang w:val="en-US"/>
        </w:rPr>
        <w:t>, we propose to reject the null hypothesis saying that the volatility of the monthly logarithmic rate of return from the shares of companies belonging to the WIG20 index does not differ from the volatility of the rate of return from the index, which means that the volatilities are different.</w:t>
      </w:r>
      <w:r w:rsidR="000E407B" w:rsidRPr="000E407B">
        <w:rPr>
          <w:rFonts w:ascii="Times New Roman" w:hAnsi="Times New Roman" w:cs="Times New Roman"/>
          <w:sz w:val="24"/>
          <w:szCs w:val="24"/>
          <w:lang w:val="en-US"/>
        </w:rPr>
        <w:t xml:space="preserve"> </w:t>
      </w:r>
      <w:r w:rsidR="000E407B" w:rsidRPr="00B30FE4">
        <w:rPr>
          <w:rFonts w:ascii="Times New Roman" w:hAnsi="Times New Roman" w:cs="Times New Roman"/>
          <w:sz w:val="24"/>
          <w:szCs w:val="24"/>
          <w:lang w:val="en-US"/>
        </w:rPr>
        <w:t xml:space="preserve">The results </w:t>
      </w:r>
      <w:r w:rsidR="000E407B">
        <w:rPr>
          <w:rFonts w:ascii="Times New Roman" w:hAnsi="Times New Roman" w:cs="Times New Roman"/>
          <w:sz w:val="24"/>
          <w:szCs w:val="24"/>
          <w:lang w:val="en-US"/>
        </w:rPr>
        <w:t xml:space="preserve">for all remaining indexes </w:t>
      </w:r>
      <w:r w:rsidR="000E407B" w:rsidRPr="00B30FE4">
        <w:rPr>
          <w:rFonts w:ascii="Times New Roman" w:hAnsi="Times New Roman" w:cs="Times New Roman"/>
          <w:sz w:val="24"/>
          <w:szCs w:val="24"/>
          <w:lang w:val="en-US"/>
        </w:rPr>
        <w:t>show that over 90% of companies (</w:t>
      </w:r>
      <w:r w:rsidR="0089231D" w:rsidRPr="00B30FE4">
        <w:rPr>
          <w:rFonts w:ascii="Times New Roman" w:hAnsi="Times New Roman" w:cs="Times New Roman"/>
          <w:bCs/>
          <w:sz w:val="24"/>
          <w:szCs w:val="24"/>
          <w:lang w:val="en-US"/>
        </w:rPr>
        <w:t>for α = 0.05</w:t>
      </w:r>
      <w:r w:rsidR="000E407B" w:rsidRPr="00B30FE4">
        <w:rPr>
          <w:rFonts w:ascii="Times New Roman" w:hAnsi="Times New Roman" w:cs="Times New Roman"/>
          <w:sz w:val="24"/>
          <w:szCs w:val="24"/>
          <w:lang w:val="en-US"/>
        </w:rPr>
        <w:t>) the variance of the rate of return of the company is significantly different from the variance of the rate of return of a given stock index.</w:t>
      </w:r>
    </w:p>
    <w:p w14:paraId="085FA954" w14:textId="77777777" w:rsidR="00747B41" w:rsidRPr="00B30FE4" w:rsidRDefault="00747B41" w:rsidP="00747B41">
      <w:pPr>
        <w:ind w:firstLine="426"/>
        <w:contextualSpacing/>
        <w:jc w:val="both"/>
        <w:rPr>
          <w:rFonts w:ascii="Times New Roman" w:hAnsi="Times New Roman" w:cs="Times New Roman"/>
          <w:color w:val="C00000"/>
          <w:sz w:val="24"/>
          <w:szCs w:val="24"/>
          <w:lang w:val="en-US"/>
        </w:rPr>
      </w:pPr>
    </w:p>
    <w:p w14:paraId="7A1C29E6" w14:textId="2BDBAE94" w:rsidR="008404B6" w:rsidRPr="00B30FE4" w:rsidRDefault="008B3361" w:rsidP="00747B41">
      <w:pPr>
        <w:contextualSpacing/>
        <w:jc w:val="both"/>
        <w:rPr>
          <w:rFonts w:ascii="Times New Roman" w:hAnsi="Times New Roman" w:cs="Times New Roman"/>
          <w:sz w:val="24"/>
          <w:szCs w:val="24"/>
          <w:lang w:val="en-US"/>
        </w:rPr>
      </w:pPr>
      <w:r w:rsidRPr="00B30FE4">
        <w:rPr>
          <w:rFonts w:ascii="Times New Roman" w:hAnsi="Times New Roman" w:cs="Times New Roman"/>
          <w:b/>
          <w:sz w:val="24"/>
          <w:szCs w:val="24"/>
          <w:lang w:val="en-US"/>
        </w:rPr>
        <w:t>4.</w:t>
      </w:r>
      <w:r w:rsidR="009F3D10">
        <w:rPr>
          <w:rFonts w:ascii="Times New Roman" w:hAnsi="Times New Roman" w:cs="Times New Roman"/>
          <w:b/>
          <w:sz w:val="24"/>
          <w:szCs w:val="24"/>
          <w:lang w:val="en-US"/>
        </w:rPr>
        <w:t>2</w:t>
      </w:r>
      <w:r w:rsidRPr="00B30FE4">
        <w:rPr>
          <w:rFonts w:ascii="Times New Roman" w:hAnsi="Times New Roman" w:cs="Times New Roman"/>
          <w:b/>
          <w:sz w:val="24"/>
          <w:szCs w:val="24"/>
          <w:lang w:val="en-US"/>
        </w:rPr>
        <w:t>. The results for division of the market to a bull and bear market</w:t>
      </w:r>
    </w:p>
    <w:p w14:paraId="661B74F6" w14:textId="5DA2F3A9" w:rsidR="00691806" w:rsidRPr="00B30FE4" w:rsidRDefault="00F85C26" w:rsidP="00747B41">
      <w:pPr>
        <w:ind w:firstLine="426"/>
        <w:contextualSpacing/>
        <w:jc w:val="both"/>
        <w:rPr>
          <w:lang w:val="en-US"/>
        </w:rPr>
      </w:pPr>
      <w:r w:rsidRPr="00B30FE4">
        <w:rPr>
          <w:rFonts w:ascii="Times New Roman" w:hAnsi="Times New Roman" w:cs="Times New Roman"/>
          <w:sz w:val="24"/>
          <w:szCs w:val="24"/>
          <w:lang w:val="en-US"/>
        </w:rPr>
        <w:t xml:space="preserve">According to what is written in paragraph 3 of the article the period of entire study sample was divided into a bull market period (99 observations) and a bear market period (31 observations). For both periods there was performed the same empirical study that for the </w:t>
      </w:r>
      <w:r w:rsidR="005647C6">
        <w:rPr>
          <w:rFonts w:ascii="Times New Roman" w:hAnsi="Times New Roman" w:cs="Times New Roman"/>
          <w:sz w:val="24"/>
          <w:szCs w:val="24"/>
          <w:lang w:val="en-US"/>
        </w:rPr>
        <w:t>whol</w:t>
      </w:r>
      <w:r w:rsidRPr="00B30FE4">
        <w:rPr>
          <w:rFonts w:ascii="Times New Roman" w:hAnsi="Times New Roman" w:cs="Times New Roman"/>
          <w:sz w:val="24"/>
          <w:szCs w:val="24"/>
          <w:lang w:val="en-US"/>
        </w:rPr>
        <w:t xml:space="preserve">e period, and therefore there were calculated the basic descriptive statistics of the rates of return of the surveyed companies and examined whether the time series are normally distributed and are stationary. The results divided into companies belonging to the WIG20, mWIG40, sWIG80 and </w:t>
      </w:r>
      <w:proofErr w:type="spellStart"/>
      <w:r w:rsidRPr="00B30FE4">
        <w:rPr>
          <w:rFonts w:ascii="Times New Roman" w:hAnsi="Times New Roman" w:cs="Times New Roman"/>
          <w:sz w:val="24"/>
          <w:szCs w:val="24"/>
          <w:lang w:val="en-US"/>
        </w:rPr>
        <w:t>WIGPlus</w:t>
      </w:r>
      <w:proofErr w:type="spellEnd"/>
      <w:r w:rsidRPr="00B30FE4">
        <w:rPr>
          <w:rFonts w:ascii="Times New Roman" w:hAnsi="Times New Roman" w:cs="Times New Roman"/>
          <w:sz w:val="24"/>
          <w:szCs w:val="24"/>
          <w:lang w:val="en-US"/>
        </w:rPr>
        <w:t xml:space="preserve"> indexes are </w:t>
      </w:r>
      <w:r w:rsidR="005647C6">
        <w:rPr>
          <w:rFonts w:ascii="Times New Roman" w:hAnsi="Times New Roman" w:cs="Times New Roman"/>
          <w:sz w:val="24"/>
          <w:szCs w:val="24"/>
          <w:lang w:val="en-US"/>
        </w:rPr>
        <w:t xml:space="preserve">described </w:t>
      </w:r>
      <w:r w:rsidRPr="00B30FE4">
        <w:rPr>
          <w:rFonts w:ascii="Times New Roman" w:hAnsi="Times New Roman" w:cs="Times New Roman"/>
          <w:sz w:val="24"/>
          <w:szCs w:val="24"/>
          <w:lang w:val="en-US"/>
        </w:rPr>
        <w:t>below, whereby the first there are presented the descriptive statistics of the rates of return of the companies belon</w:t>
      </w:r>
      <w:r w:rsidR="0089231D">
        <w:rPr>
          <w:rFonts w:ascii="Times New Roman" w:hAnsi="Times New Roman" w:cs="Times New Roman"/>
          <w:sz w:val="24"/>
          <w:szCs w:val="24"/>
          <w:lang w:val="en-US"/>
        </w:rPr>
        <w:t xml:space="preserve">ging to the WIG20 index (Table </w:t>
      </w:r>
      <w:r w:rsidRPr="00B30FE4">
        <w:rPr>
          <w:rFonts w:ascii="Times New Roman" w:hAnsi="Times New Roman" w:cs="Times New Roman"/>
          <w:sz w:val="24"/>
          <w:szCs w:val="24"/>
          <w:lang w:val="en-US"/>
        </w:rPr>
        <w:t>2</w:t>
      </w:r>
      <w:r w:rsidR="0089231D">
        <w:rPr>
          <w:rFonts w:ascii="Times New Roman" w:hAnsi="Times New Roman" w:cs="Times New Roman"/>
          <w:sz w:val="24"/>
          <w:szCs w:val="24"/>
          <w:lang w:val="en-US"/>
        </w:rPr>
        <w:t xml:space="preserve"> and </w:t>
      </w:r>
      <w:r w:rsidRPr="00B30FE4">
        <w:rPr>
          <w:rFonts w:ascii="Times New Roman" w:hAnsi="Times New Roman" w:cs="Times New Roman"/>
          <w:sz w:val="24"/>
          <w:szCs w:val="24"/>
          <w:lang w:val="en-US"/>
        </w:rPr>
        <w:t>3).</w:t>
      </w:r>
    </w:p>
    <w:p w14:paraId="102D0D5B" w14:textId="575B4474" w:rsidR="00E043A8" w:rsidRDefault="00DD3151" w:rsidP="00747B41">
      <w:pPr>
        <w:pStyle w:val="Legenda"/>
        <w:keepNext/>
        <w:contextualSpacing/>
        <w:jc w:val="center"/>
        <w:rPr>
          <w:rFonts w:ascii="Times New Roman" w:eastAsia="Times New Roman" w:hAnsi="Times New Roman" w:cs="Times New Roman"/>
          <w:b w:val="0"/>
          <w:color w:val="000000"/>
          <w:sz w:val="24"/>
          <w:szCs w:val="24"/>
          <w:lang w:val="en-US" w:eastAsia="pl-PL"/>
        </w:rPr>
      </w:pPr>
      <w:r>
        <w:rPr>
          <w:rFonts w:ascii="Times New Roman" w:eastAsia="Times New Roman" w:hAnsi="Times New Roman" w:cs="Times New Roman"/>
          <w:b w:val="0"/>
          <w:color w:val="000000"/>
          <w:sz w:val="24"/>
          <w:szCs w:val="24"/>
          <w:lang w:val="en-US" w:eastAsia="pl-PL"/>
        </w:rPr>
        <w:lastRenderedPageBreak/>
        <w:t xml:space="preserve">Table </w:t>
      </w:r>
      <w:r w:rsidR="00691806" w:rsidRPr="00B30FE4">
        <w:rPr>
          <w:rFonts w:ascii="Times New Roman" w:eastAsia="Times New Roman" w:hAnsi="Times New Roman" w:cs="Times New Roman"/>
          <w:b w:val="0"/>
          <w:color w:val="000000"/>
          <w:sz w:val="24"/>
          <w:szCs w:val="24"/>
          <w:lang w:val="en-US" w:eastAsia="pl-PL"/>
        </w:rPr>
        <w:t>2. Descriptive statistics of the rates of return of the WIG20 index in the period of bull market</w:t>
      </w:r>
    </w:p>
    <w:tbl>
      <w:tblPr>
        <w:tblW w:w="5000" w:type="pct"/>
        <w:tblCellMar>
          <w:left w:w="70" w:type="dxa"/>
          <w:right w:w="70" w:type="dxa"/>
        </w:tblCellMar>
        <w:tblLook w:val="04A0" w:firstRow="1" w:lastRow="0" w:firstColumn="1" w:lastColumn="0" w:noHBand="0" w:noVBand="1"/>
      </w:tblPr>
      <w:tblGrid>
        <w:gridCol w:w="1605"/>
        <w:gridCol w:w="1056"/>
        <w:gridCol w:w="1119"/>
        <w:gridCol w:w="954"/>
        <w:gridCol w:w="1056"/>
        <w:gridCol w:w="1286"/>
        <w:gridCol w:w="1996"/>
      </w:tblGrid>
      <w:tr w:rsidR="00E043A8" w:rsidRPr="00F0130C" w14:paraId="44DB88E9" w14:textId="77777777" w:rsidTr="00E043A8">
        <w:trPr>
          <w:trHeight w:val="322"/>
        </w:trPr>
        <w:tc>
          <w:tcPr>
            <w:tcW w:w="884" w:type="pct"/>
            <w:tcBorders>
              <w:top w:val="double" w:sz="4" w:space="0" w:color="auto"/>
              <w:left w:val="nil"/>
              <w:bottom w:val="double" w:sz="4" w:space="0" w:color="auto"/>
              <w:right w:val="nil"/>
            </w:tcBorders>
            <w:shd w:val="clear" w:color="auto" w:fill="auto"/>
            <w:noWrap/>
            <w:vAlign w:val="bottom"/>
            <w:hideMark/>
          </w:tcPr>
          <w:p w14:paraId="5D81C19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Company</w:t>
            </w:r>
          </w:p>
        </w:tc>
        <w:tc>
          <w:tcPr>
            <w:tcW w:w="582" w:type="pct"/>
            <w:tcBorders>
              <w:top w:val="double" w:sz="4" w:space="0" w:color="auto"/>
              <w:left w:val="nil"/>
              <w:bottom w:val="double" w:sz="4" w:space="0" w:color="auto"/>
              <w:right w:val="nil"/>
            </w:tcBorders>
            <w:shd w:val="clear" w:color="auto" w:fill="auto"/>
            <w:noWrap/>
            <w:vAlign w:val="bottom"/>
            <w:hideMark/>
          </w:tcPr>
          <w:p w14:paraId="55EC2368" w14:textId="77777777" w:rsidR="00E043A8" w:rsidRPr="00F0130C" w:rsidRDefault="00F031A2" w:rsidP="00747B41">
            <w:pPr>
              <w:spacing w:after="0" w:line="240" w:lineRule="auto"/>
              <w:contextualSpacing/>
              <w:jc w:val="center"/>
              <w:rPr>
                <w:rFonts w:ascii="Times New Roman" w:eastAsia="Times New Roman" w:hAnsi="Times New Roman" w:cs="Times New Roman"/>
                <w:color w:val="000000"/>
                <w:lang w:val="en-US" w:eastAsia="pl-PL"/>
              </w:rPr>
            </w:pPr>
            <m:oMathPara>
              <m:oMath>
                <m:acc>
                  <m:accPr>
                    <m:chr m:val="̅"/>
                    <m:ctrlPr>
                      <w:rPr>
                        <w:rFonts w:ascii="Cambria Math" w:eastAsia="Times New Roman" w:hAnsi="Cambria Math" w:cs="Times New Roman"/>
                        <w:i/>
                        <w:color w:val="000000"/>
                        <w:lang w:val="en-US" w:eastAsia="pl-PL"/>
                      </w:rPr>
                    </m:ctrlPr>
                  </m:accPr>
                  <m:e>
                    <m:r>
                      <w:rPr>
                        <w:rFonts w:ascii="Cambria Math" w:eastAsia="Times New Roman" w:hAnsi="Cambria Math" w:cs="Times New Roman"/>
                        <w:color w:val="000000"/>
                        <w:lang w:val="en-US" w:eastAsia="pl-PL"/>
                      </w:rPr>
                      <m:t>R</m:t>
                    </m:r>
                  </m:e>
                </m:acc>
              </m:oMath>
            </m:oMathPara>
          </w:p>
        </w:tc>
        <w:tc>
          <w:tcPr>
            <w:tcW w:w="617" w:type="pct"/>
            <w:tcBorders>
              <w:top w:val="double" w:sz="4" w:space="0" w:color="auto"/>
              <w:left w:val="nil"/>
              <w:bottom w:val="double" w:sz="4" w:space="0" w:color="auto"/>
              <w:right w:val="nil"/>
            </w:tcBorders>
            <w:shd w:val="clear" w:color="auto" w:fill="auto"/>
            <w:noWrap/>
            <w:vAlign w:val="bottom"/>
            <w:hideMark/>
          </w:tcPr>
          <w:p w14:paraId="5F17220C"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S</w:t>
            </w:r>
          </w:p>
        </w:tc>
        <w:tc>
          <w:tcPr>
            <w:tcW w:w="526" w:type="pct"/>
            <w:tcBorders>
              <w:top w:val="double" w:sz="4" w:space="0" w:color="auto"/>
              <w:left w:val="nil"/>
              <w:bottom w:val="double" w:sz="4" w:space="0" w:color="auto"/>
              <w:right w:val="nil"/>
            </w:tcBorders>
            <w:shd w:val="clear" w:color="auto" w:fill="auto"/>
            <w:noWrap/>
            <w:vAlign w:val="bottom"/>
            <w:hideMark/>
          </w:tcPr>
          <w:p w14:paraId="15821B53"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SS</w:t>
            </w:r>
          </w:p>
        </w:tc>
        <w:tc>
          <w:tcPr>
            <w:tcW w:w="582" w:type="pct"/>
            <w:tcBorders>
              <w:top w:val="double" w:sz="4" w:space="0" w:color="auto"/>
              <w:left w:val="nil"/>
              <w:bottom w:val="double" w:sz="4" w:space="0" w:color="auto"/>
              <w:right w:val="nil"/>
            </w:tcBorders>
            <w:shd w:val="clear" w:color="auto" w:fill="auto"/>
            <w:noWrap/>
            <w:vAlign w:val="bottom"/>
            <w:hideMark/>
          </w:tcPr>
          <w:p w14:paraId="3B5F0762"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A</w:t>
            </w:r>
          </w:p>
        </w:tc>
        <w:tc>
          <w:tcPr>
            <w:tcW w:w="709" w:type="pct"/>
            <w:tcBorders>
              <w:top w:val="double" w:sz="4" w:space="0" w:color="auto"/>
              <w:left w:val="nil"/>
              <w:bottom w:val="double" w:sz="4" w:space="0" w:color="auto"/>
              <w:right w:val="nil"/>
            </w:tcBorders>
            <w:shd w:val="clear" w:color="auto" w:fill="auto"/>
            <w:noWrap/>
            <w:vAlign w:val="bottom"/>
            <w:hideMark/>
          </w:tcPr>
          <w:p w14:paraId="47AB1856"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K</w:t>
            </w:r>
          </w:p>
        </w:tc>
        <w:tc>
          <w:tcPr>
            <w:tcW w:w="1101" w:type="pct"/>
            <w:tcBorders>
              <w:top w:val="double" w:sz="4" w:space="0" w:color="auto"/>
              <w:left w:val="nil"/>
              <w:bottom w:val="double" w:sz="4" w:space="0" w:color="auto"/>
              <w:right w:val="nil"/>
            </w:tcBorders>
            <w:shd w:val="clear" w:color="auto" w:fill="auto"/>
            <w:noWrap/>
            <w:vAlign w:val="bottom"/>
            <w:hideMark/>
          </w:tcPr>
          <w:p w14:paraId="09D17E00"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Sector</w:t>
            </w:r>
          </w:p>
        </w:tc>
      </w:tr>
      <w:tr w:rsidR="00E043A8" w:rsidRPr="00F0130C" w14:paraId="06BC0482" w14:textId="77777777" w:rsidTr="00E043A8">
        <w:trPr>
          <w:trHeight w:val="322"/>
        </w:trPr>
        <w:tc>
          <w:tcPr>
            <w:tcW w:w="884" w:type="pct"/>
            <w:tcBorders>
              <w:top w:val="double" w:sz="4" w:space="0" w:color="auto"/>
              <w:left w:val="nil"/>
              <w:bottom w:val="single" w:sz="6" w:space="0" w:color="auto"/>
              <w:right w:val="nil"/>
            </w:tcBorders>
            <w:shd w:val="clear" w:color="auto" w:fill="auto"/>
            <w:noWrap/>
            <w:vAlign w:val="center"/>
            <w:hideMark/>
          </w:tcPr>
          <w:p w14:paraId="3520345A"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PGNIG</w:t>
            </w:r>
          </w:p>
        </w:tc>
        <w:tc>
          <w:tcPr>
            <w:tcW w:w="582" w:type="pct"/>
            <w:tcBorders>
              <w:top w:val="double" w:sz="4" w:space="0" w:color="auto"/>
              <w:left w:val="nil"/>
              <w:bottom w:val="single" w:sz="6" w:space="0" w:color="auto"/>
              <w:right w:val="nil"/>
            </w:tcBorders>
            <w:shd w:val="clear" w:color="auto" w:fill="auto"/>
            <w:noWrap/>
            <w:vAlign w:val="bottom"/>
            <w:hideMark/>
          </w:tcPr>
          <w:p w14:paraId="2F85352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0.9921</w:t>
            </w:r>
          </w:p>
        </w:tc>
        <w:tc>
          <w:tcPr>
            <w:tcW w:w="617" w:type="pct"/>
            <w:tcBorders>
              <w:top w:val="double" w:sz="4" w:space="0" w:color="auto"/>
              <w:left w:val="nil"/>
              <w:bottom w:val="single" w:sz="6" w:space="0" w:color="auto"/>
              <w:right w:val="nil"/>
            </w:tcBorders>
            <w:shd w:val="clear" w:color="auto" w:fill="auto"/>
            <w:noWrap/>
            <w:vAlign w:val="bottom"/>
            <w:hideMark/>
          </w:tcPr>
          <w:p w14:paraId="245474C1"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6.6788</w:t>
            </w:r>
          </w:p>
        </w:tc>
        <w:tc>
          <w:tcPr>
            <w:tcW w:w="526" w:type="pct"/>
            <w:tcBorders>
              <w:top w:val="double" w:sz="4" w:space="0" w:color="auto"/>
              <w:left w:val="nil"/>
              <w:bottom w:val="single" w:sz="6" w:space="0" w:color="auto"/>
              <w:right w:val="nil"/>
            </w:tcBorders>
            <w:shd w:val="clear" w:color="auto" w:fill="auto"/>
            <w:noWrap/>
            <w:vAlign w:val="bottom"/>
            <w:hideMark/>
          </w:tcPr>
          <w:p w14:paraId="570FDF50"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4.4216</w:t>
            </w:r>
          </w:p>
        </w:tc>
        <w:tc>
          <w:tcPr>
            <w:tcW w:w="582" w:type="pct"/>
            <w:tcBorders>
              <w:top w:val="double" w:sz="4" w:space="0" w:color="auto"/>
              <w:left w:val="nil"/>
              <w:bottom w:val="single" w:sz="6" w:space="0" w:color="auto"/>
              <w:right w:val="nil"/>
            </w:tcBorders>
            <w:shd w:val="clear" w:color="auto" w:fill="auto"/>
            <w:noWrap/>
            <w:vAlign w:val="bottom"/>
            <w:hideMark/>
          </w:tcPr>
          <w:p w14:paraId="16F6D9AE"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0.2789</w:t>
            </w:r>
          </w:p>
        </w:tc>
        <w:tc>
          <w:tcPr>
            <w:tcW w:w="709" w:type="pct"/>
            <w:tcBorders>
              <w:top w:val="double" w:sz="4" w:space="0" w:color="auto"/>
              <w:left w:val="nil"/>
              <w:bottom w:val="single" w:sz="6" w:space="0" w:color="auto"/>
              <w:right w:val="nil"/>
            </w:tcBorders>
            <w:shd w:val="clear" w:color="auto" w:fill="auto"/>
            <w:noWrap/>
            <w:vAlign w:val="bottom"/>
          </w:tcPr>
          <w:p w14:paraId="1709A4FB"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-0.1700</w:t>
            </w:r>
          </w:p>
        </w:tc>
        <w:tc>
          <w:tcPr>
            <w:tcW w:w="1101" w:type="pct"/>
            <w:tcBorders>
              <w:top w:val="double" w:sz="4" w:space="0" w:color="auto"/>
              <w:left w:val="nil"/>
              <w:bottom w:val="single" w:sz="6" w:space="0" w:color="auto"/>
              <w:right w:val="nil"/>
            </w:tcBorders>
            <w:shd w:val="clear" w:color="auto" w:fill="auto"/>
            <w:noWrap/>
            <w:vAlign w:val="bottom"/>
            <w:hideMark/>
          </w:tcPr>
          <w:p w14:paraId="680AF092"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Oil &amp; Gas</w:t>
            </w:r>
          </w:p>
        </w:tc>
      </w:tr>
      <w:tr w:rsidR="00E043A8" w:rsidRPr="00F0130C" w14:paraId="6267FF95"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76059F2D"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PEKAO</w:t>
            </w:r>
          </w:p>
        </w:tc>
        <w:tc>
          <w:tcPr>
            <w:tcW w:w="582" w:type="pct"/>
            <w:tcBorders>
              <w:top w:val="single" w:sz="6" w:space="0" w:color="auto"/>
              <w:left w:val="nil"/>
              <w:bottom w:val="single" w:sz="6" w:space="0" w:color="auto"/>
              <w:right w:val="nil"/>
            </w:tcBorders>
            <w:shd w:val="clear" w:color="auto" w:fill="auto"/>
            <w:noWrap/>
            <w:vAlign w:val="bottom"/>
            <w:hideMark/>
          </w:tcPr>
          <w:p w14:paraId="50B88B2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1.0286</w:t>
            </w:r>
          </w:p>
        </w:tc>
        <w:tc>
          <w:tcPr>
            <w:tcW w:w="617" w:type="pct"/>
            <w:tcBorders>
              <w:top w:val="single" w:sz="6" w:space="0" w:color="auto"/>
              <w:left w:val="nil"/>
              <w:bottom w:val="single" w:sz="6" w:space="0" w:color="auto"/>
              <w:right w:val="nil"/>
            </w:tcBorders>
            <w:shd w:val="clear" w:color="auto" w:fill="auto"/>
            <w:noWrap/>
            <w:vAlign w:val="bottom"/>
            <w:hideMark/>
          </w:tcPr>
          <w:p w14:paraId="52BEBF6A"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6.7570</w:t>
            </w:r>
          </w:p>
        </w:tc>
        <w:tc>
          <w:tcPr>
            <w:tcW w:w="526" w:type="pct"/>
            <w:tcBorders>
              <w:top w:val="single" w:sz="6" w:space="0" w:color="auto"/>
              <w:left w:val="nil"/>
              <w:bottom w:val="single" w:sz="6" w:space="0" w:color="auto"/>
              <w:right w:val="nil"/>
            </w:tcBorders>
            <w:shd w:val="clear" w:color="auto" w:fill="auto"/>
            <w:noWrap/>
            <w:vAlign w:val="bottom"/>
            <w:hideMark/>
          </w:tcPr>
          <w:p w14:paraId="7AC22F7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4.7860</w:t>
            </w:r>
          </w:p>
        </w:tc>
        <w:tc>
          <w:tcPr>
            <w:tcW w:w="582" w:type="pct"/>
            <w:tcBorders>
              <w:top w:val="single" w:sz="6" w:space="0" w:color="auto"/>
              <w:left w:val="nil"/>
              <w:bottom w:val="single" w:sz="6" w:space="0" w:color="auto"/>
              <w:right w:val="nil"/>
            </w:tcBorders>
            <w:shd w:val="clear" w:color="auto" w:fill="auto"/>
            <w:noWrap/>
            <w:vAlign w:val="bottom"/>
            <w:hideMark/>
          </w:tcPr>
          <w:p w14:paraId="06A36F3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0.0500</w:t>
            </w:r>
          </w:p>
        </w:tc>
        <w:tc>
          <w:tcPr>
            <w:tcW w:w="709" w:type="pct"/>
            <w:tcBorders>
              <w:top w:val="single" w:sz="6" w:space="0" w:color="auto"/>
              <w:left w:val="nil"/>
              <w:bottom w:val="single" w:sz="6" w:space="0" w:color="auto"/>
              <w:right w:val="nil"/>
            </w:tcBorders>
            <w:shd w:val="clear" w:color="auto" w:fill="auto"/>
            <w:noWrap/>
            <w:vAlign w:val="bottom"/>
          </w:tcPr>
          <w:p w14:paraId="46EDCD52"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0.3933</w:t>
            </w:r>
          </w:p>
        </w:tc>
        <w:tc>
          <w:tcPr>
            <w:tcW w:w="1101" w:type="pct"/>
            <w:tcBorders>
              <w:top w:val="single" w:sz="6" w:space="0" w:color="auto"/>
              <w:left w:val="nil"/>
              <w:bottom w:val="single" w:sz="6" w:space="0" w:color="auto"/>
              <w:right w:val="nil"/>
            </w:tcBorders>
            <w:shd w:val="clear" w:color="auto" w:fill="auto"/>
            <w:noWrap/>
            <w:vAlign w:val="bottom"/>
            <w:hideMark/>
          </w:tcPr>
          <w:p w14:paraId="2BEA9BCE"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Banking</w:t>
            </w:r>
          </w:p>
        </w:tc>
      </w:tr>
      <w:tr w:rsidR="00E043A8" w:rsidRPr="00F0130C" w14:paraId="6EE87DED"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4AC4D77D"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PKOBP</w:t>
            </w:r>
          </w:p>
        </w:tc>
        <w:tc>
          <w:tcPr>
            <w:tcW w:w="582" w:type="pct"/>
            <w:tcBorders>
              <w:top w:val="single" w:sz="6" w:space="0" w:color="auto"/>
              <w:left w:val="nil"/>
              <w:bottom w:val="single" w:sz="6" w:space="0" w:color="auto"/>
              <w:right w:val="nil"/>
            </w:tcBorders>
            <w:shd w:val="clear" w:color="auto" w:fill="auto"/>
            <w:noWrap/>
            <w:vAlign w:val="bottom"/>
            <w:hideMark/>
          </w:tcPr>
          <w:p w14:paraId="7C8BA083"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1.0694</w:t>
            </w:r>
          </w:p>
        </w:tc>
        <w:tc>
          <w:tcPr>
            <w:tcW w:w="617" w:type="pct"/>
            <w:tcBorders>
              <w:top w:val="single" w:sz="6" w:space="0" w:color="auto"/>
              <w:left w:val="nil"/>
              <w:bottom w:val="single" w:sz="6" w:space="0" w:color="auto"/>
              <w:right w:val="nil"/>
            </w:tcBorders>
            <w:shd w:val="clear" w:color="auto" w:fill="auto"/>
            <w:noWrap/>
            <w:vAlign w:val="bottom"/>
            <w:hideMark/>
          </w:tcPr>
          <w:p w14:paraId="1399B415"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6.7055</w:t>
            </w:r>
          </w:p>
        </w:tc>
        <w:tc>
          <w:tcPr>
            <w:tcW w:w="526" w:type="pct"/>
            <w:tcBorders>
              <w:top w:val="single" w:sz="6" w:space="0" w:color="auto"/>
              <w:left w:val="nil"/>
              <w:bottom w:val="single" w:sz="6" w:space="0" w:color="auto"/>
              <w:right w:val="nil"/>
            </w:tcBorders>
            <w:shd w:val="clear" w:color="auto" w:fill="auto"/>
            <w:noWrap/>
            <w:vAlign w:val="bottom"/>
            <w:hideMark/>
          </w:tcPr>
          <w:p w14:paraId="0A9E5217"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4.6392</w:t>
            </w:r>
          </w:p>
        </w:tc>
        <w:tc>
          <w:tcPr>
            <w:tcW w:w="582" w:type="pct"/>
            <w:tcBorders>
              <w:top w:val="single" w:sz="6" w:space="0" w:color="auto"/>
              <w:left w:val="nil"/>
              <w:bottom w:val="single" w:sz="6" w:space="0" w:color="auto"/>
              <w:right w:val="nil"/>
            </w:tcBorders>
            <w:shd w:val="clear" w:color="auto" w:fill="auto"/>
            <w:noWrap/>
            <w:vAlign w:val="bottom"/>
            <w:hideMark/>
          </w:tcPr>
          <w:p w14:paraId="76BFE24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0.3344</w:t>
            </w:r>
          </w:p>
        </w:tc>
        <w:tc>
          <w:tcPr>
            <w:tcW w:w="709" w:type="pct"/>
            <w:tcBorders>
              <w:top w:val="single" w:sz="6" w:space="0" w:color="auto"/>
              <w:left w:val="nil"/>
              <w:bottom w:val="single" w:sz="6" w:space="0" w:color="auto"/>
              <w:right w:val="nil"/>
            </w:tcBorders>
            <w:shd w:val="clear" w:color="auto" w:fill="auto"/>
            <w:noWrap/>
            <w:vAlign w:val="bottom"/>
          </w:tcPr>
          <w:p w14:paraId="3A584776"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0.8809</w:t>
            </w:r>
          </w:p>
        </w:tc>
        <w:tc>
          <w:tcPr>
            <w:tcW w:w="1101" w:type="pct"/>
            <w:tcBorders>
              <w:top w:val="single" w:sz="6" w:space="0" w:color="auto"/>
              <w:left w:val="nil"/>
              <w:bottom w:val="single" w:sz="6" w:space="0" w:color="auto"/>
              <w:right w:val="nil"/>
            </w:tcBorders>
            <w:shd w:val="clear" w:color="auto" w:fill="auto"/>
            <w:noWrap/>
            <w:vAlign w:val="bottom"/>
            <w:hideMark/>
          </w:tcPr>
          <w:p w14:paraId="67BA3DFA"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Banking</w:t>
            </w:r>
          </w:p>
        </w:tc>
      </w:tr>
      <w:tr w:rsidR="00E043A8" w:rsidRPr="00F0130C" w14:paraId="7F6DAA35"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6833F2B1"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BZWBK</w:t>
            </w:r>
          </w:p>
        </w:tc>
        <w:tc>
          <w:tcPr>
            <w:tcW w:w="582" w:type="pct"/>
            <w:tcBorders>
              <w:top w:val="single" w:sz="6" w:space="0" w:color="auto"/>
              <w:left w:val="nil"/>
              <w:bottom w:val="single" w:sz="6" w:space="0" w:color="auto"/>
              <w:right w:val="nil"/>
            </w:tcBorders>
            <w:shd w:val="clear" w:color="auto" w:fill="auto"/>
            <w:noWrap/>
            <w:vAlign w:val="bottom"/>
            <w:hideMark/>
          </w:tcPr>
          <w:p w14:paraId="2BF26B69"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2.1505</w:t>
            </w:r>
          </w:p>
        </w:tc>
        <w:tc>
          <w:tcPr>
            <w:tcW w:w="617" w:type="pct"/>
            <w:tcBorders>
              <w:top w:val="single" w:sz="6" w:space="0" w:color="auto"/>
              <w:left w:val="nil"/>
              <w:bottom w:val="single" w:sz="6" w:space="0" w:color="auto"/>
              <w:right w:val="nil"/>
            </w:tcBorders>
            <w:shd w:val="clear" w:color="auto" w:fill="auto"/>
            <w:noWrap/>
            <w:vAlign w:val="bottom"/>
            <w:hideMark/>
          </w:tcPr>
          <w:p w14:paraId="0E0F5F55"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8.6014</w:t>
            </w:r>
          </w:p>
        </w:tc>
        <w:tc>
          <w:tcPr>
            <w:tcW w:w="526" w:type="pct"/>
            <w:tcBorders>
              <w:top w:val="single" w:sz="6" w:space="0" w:color="auto"/>
              <w:left w:val="nil"/>
              <w:bottom w:val="single" w:sz="6" w:space="0" w:color="auto"/>
              <w:right w:val="nil"/>
            </w:tcBorders>
            <w:shd w:val="clear" w:color="auto" w:fill="auto"/>
            <w:noWrap/>
            <w:vAlign w:val="bottom"/>
            <w:hideMark/>
          </w:tcPr>
          <w:p w14:paraId="7EC8FE97"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5.5905</w:t>
            </w:r>
          </w:p>
        </w:tc>
        <w:tc>
          <w:tcPr>
            <w:tcW w:w="582" w:type="pct"/>
            <w:tcBorders>
              <w:top w:val="single" w:sz="6" w:space="0" w:color="auto"/>
              <w:left w:val="nil"/>
              <w:bottom w:val="single" w:sz="6" w:space="0" w:color="auto"/>
              <w:right w:val="nil"/>
            </w:tcBorders>
            <w:shd w:val="clear" w:color="auto" w:fill="auto"/>
            <w:noWrap/>
            <w:vAlign w:val="bottom"/>
            <w:hideMark/>
          </w:tcPr>
          <w:p w14:paraId="7FDBE85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0.6326</w:t>
            </w:r>
          </w:p>
        </w:tc>
        <w:tc>
          <w:tcPr>
            <w:tcW w:w="709" w:type="pct"/>
            <w:tcBorders>
              <w:top w:val="single" w:sz="6" w:space="0" w:color="auto"/>
              <w:left w:val="nil"/>
              <w:bottom w:val="single" w:sz="6" w:space="0" w:color="auto"/>
              <w:right w:val="nil"/>
            </w:tcBorders>
            <w:shd w:val="clear" w:color="auto" w:fill="auto"/>
            <w:noWrap/>
            <w:vAlign w:val="bottom"/>
          </w:tcPr>
          <w:p w14:paraId="326CD9EC"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1.4735</w:t>
            </w:r>
          </w:p>
        </w:tc>
        <w:tc>
          <w:tcPr>
            <w:tcW w:w="1101" w:type="pct"/>
            <w:tcBorders>
              <w:top w:val="single" w:sz="6" w:space="0" w:color="auto"/>
              <w:left w:val="nil"/>
              <w:bottom w:val="single" w:sz="6" w:space="0" w:color="auto"/>
              <w:right w:val="nil"/>
            </w:tcBorders>
            <w:shd w:val="clear" w:color="auto" w:fill="auto"/>
            <w:noWrap/>
            <w:vAlign w:val="bottom"/>
            <w:hideMark/>
          </w:tcPr>
          <w:p w14:paraId="14F112DF"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Banking</w:t>
            </w:r>
          </w:p>
        </w:tc>
      </w:tr>
      <w:tr w:rsidR="00E043A8" w:rsidRPr="00F0130C" w14:paraId="7A0D988A"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2D27B21C"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PKNORLEN</w:t>
            </w:r>
          </w:p>
        </w:tc>
        <w:tc>
          <w:tcPr>
            <w:tcW w:w="582" w:type="pct"/>
            <w:tcBorders>
              <w:top w:val="single" w:sz="6" w:space="0" w:color="auto"/>
              <w:left w:val="nil"/>
              <w:bottom w:val="single" w:sz="6" w:space="0" w:color="auto"/>
              <w:right w:val="nil"/>
            </w:tcBorders>
            <w:shd w:val="clear" w:color="auto" w:fill="auto"/>
            <w:noWrap/>
            <w:vAlign w:val="bottom"/>
            <w:hideMark/>
          </w:tcPr>
          <w:p w14:paraId="66E8A39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1.5470</w:t>
            </w:r>
          </w:p>
        </w:tc>
        <w:tc>
          <w:tcPr>
            <w:tcW w:w="617" w:type="pct"/>
            <w:tcBorders>
              <w:top w:val="single" w:sz="6" w:space="0" w:color="auto"/>
              <w:left w:val="nil"/>
              <w:bottom w:val="single" w:sz="6" w:space="0" w:color="auto"/>
              <w:right w:val="nil"/>
            </w:tcBorders>
            <w:shd w:val="clear" w:color="auto" w:fill="auto"/>
            <w:noWrap/>
            <w:vAlign w:val="bottom"/>
            <w:hideMark/>
          </w:tcPr>
          <w:p w14:paraId="05D8429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7.6745</w:t>
            </w:r>
          </w:p>
        </w:tc>
        <w:tc>
          <w:tcPr>
            <w:tcW w:w="526" w:type="pct"/>
            <w:tcBorders>
              <w:top w:val="single" w:sz="6" w:space="0" w:color="auto"/>
              <w:left w:val="nil"/>
              <w:bottom w:val="single" w:sz="6" w:space="0" w:color="auto"/>
              <w:right w:val="nil"/>
            </w:tcBorders>
            <w:shd w:val="clear" w:color="auto" w:fill="auto"/>
            <w:noWrap/>
            <w:vAlign w:val="bottom"/>
            <w:hideMark/>
          </w:tcPr>
          <w:p w14:paraId="547EEB20"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5.4995</w:t>
            </w:r>
          </w:p>
        </w:tc>
        <w:tc>
          <w:tcPr>
            <w:tcW w:w="582" w:type="pct"/>
            <w:tcBorders>
              <w:top w:val="single" w:sz="6" w:space="0" w:color="auto"/>
              <w:left w:val="nil"/>
              <w:bottom w:val="single" w:sz="6" w:space="0" w:color="auto"/>
              <w:right w:val="nil"/>
            </w:tcBorders>
            <w:shd w:val="clear" w:color="auto" w:fill="auto"/>
            <w:noWrap/>
            <w:vAlign w:val="bottom"/>
            <w:hideMark/>
          </w:tcPr>
          <w:p w14:paraId="240F0FC8"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-0.1356</w:t>
            </w:r>
          </w:p>
        </w:tc>
        <w:tc>
          <w:tcPr>
            <w:tcW w:w="709" w:type="pct"/>
            <w:tcBorders>
              <w:top w:val="single" w:sz="6" w:space="0" w:color="auto"/>
              <w:left w:val="nil"/>
              <w:bottom w:val="single" w:sz="6" w:space="0" w:color="auto"/>
              <w:right w:val="nil"/>
            </w:tcBorders>
            <w:shd w:val="clear" w:color="auto" w:fill="auto"/>
            <w:noWrap/>
            <w:vAlign w:val="bottom"/>
          </w:tcPr>
          <w:p w14:paraId="70DD275F"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-0.1097</w:t>
            </w:r>
          </w:p>
        </w:tc>
        <w:tc>
          <w:tcPr>
            <w:tcW w:w="1101" w:type="pct"/>
            <w:tcBorders>
              <w:top w:val="single" w:sz="6" w:space="0" w:color="auto"/>
              <w:left w:val="nil"/>
              <w:bottom w:val="single" w:sz="6" w:space="0" w:color="auto"/>
              <w:right w:val="nil"/>
            </w:tcBorders>
            <w:shd w:val="clear" w:color="auto" w:fill="auto"/>
            <w:noWrap/>
            <w:vAlign w:val="bottom"/>
            <w:hideMark/>
          </w:tcPr>
          <w:p w14:paraId="6F3C5ECC"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Oil &amp; Gas</w:t>
            </w:r>
          </w:p>
        </w:tc>
      </w:tr>
      <w:tr w:rsidR="00E043A8" w:rsidRPr="00F0130C" w14:paraId="2AF3AE55"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76A1DDA4"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KGHM</w:t>
            </w:r>
          </w:p>
        </w:tc>
        <w:tc>
          <w:tcPr>
            <w:tcW w:w="582" w:type="pct"/>
            <w:tcBorders>
              <w:top w:val="single" w:sz="6" w:space="0" w:color="auto"/>
              <w:left w:val="nil"/>
              <w:bottom w:val="single" w:sz="6" w:space="0" w:color="auto"/>
              <w:right w:val="nil"/>
            </w:tcBorders>
            <w:shd w:val="clear" w:color="auto" w:fill="auto"/>
            <w:noWrap/>
            <w:vAlign w:val="bottom"/>
            <w:hideMark/>
          </w:tcPr>
          <w:p w14:paraId="3AC0D1FE"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1.7339</w:t>
            </w:r>
          </w:p>
        </w:tc>
        <w:tc>
          <w:tcPr>
            <w:tcW w:w="617" w:type="pct"/>
            <w:tcBorders>
              <w:top w:val="single" w:sz="6" w:space="0" w:color="auto"/>
              <w:left w:val="nil"/>
              <w:bottom w:val="single" w:sz="6" w:space="0" w:color="auto"/>
              <w:right w:val="nil"/>
            </w:tcBorders>
            <w:shd w:val="clear" w:color="auto" w:fill="auto"/>
            <w:noWrap/>
            <w:vAlign w:val="bottom"/>
            <w:hideMark/>
          </w:tcPr>
          <w:p w14:paraId="1244C907"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9.7828</w:t>
            </w:r>
          </w:p>
        </w:tc>
        <w:tc>
          <w:tcPr>
            <w:tcW w:w="526" w:type="pct"/>
            <w:tcBorders>
              <w:top w:val="single" w:sz="6" w:space="0" w:color="auto"/>
              <w:left w:val="nil"/>
              <w:bottom w:val="single" w:sz="6" w:space="0" w:color="auto"/>
              <w:right w:val="nil"/>
            </w:tcBorders>
            <w:shd w:val="clear" w:color="auto" w:fill="auto"/>
            <w:noWrap/>
            <w:vAlign w:val="bottom"/>
            <w:hideMark/>
          </w:tcPr>
          <w:p w14:paraId="73E0DD8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6.7844</w:t>
            </w:r>
          </w:p>
        </w:tc>
        <w:tc>
          <w:tcPr>
            <w:tcW w:w="582" w:type="pct"/>
            <w:tcBorders>
              <w:top w:val="single" w:sz="6" w:space="0" w:color="auto"/>
              <w:left w:val="nil"/>
              <w:bottom w:val="single" w:sz="6" w:space="0" w:color="auto"/>
              <w:right w:val="nil"/>
            </w:tcBorders>
            <w:shd w:val="clear" w:color="auto" w:fill="auto"/>
            <w:noWrap/>
            <w:vAlign w:val="bottom"/>
            <w:hideMark/>
          </w:tcPr>
          <w:p w14:paraId="149F183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0.1400</w:t>
            </w:r>
          </w:p>
        </w:tc>
        <w:tc>
          <w:tcPr>
            <w:tcW w:w="709" w:type="pct"/>
            <w:tcBorders>
              <w:top w:val="single" w:sz="6" w:space="0" w:color="auto"/>
              <w:left w:val="nil"/>
              <w:bottom w:val="single" w:sz="6" w:space="0" w:color="auto"/>
              <w:right w:val="nil"/>
            </w:tcBorders>
            <w:shd w:val="clear" w:color="auto" w:fill="auto"/>
            <w:noWrap/>
            <w:vAlign w:val="bottom"/>
          </w:tcPr>
          <w:p w14:paraId="3670311F"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-0.0869</w:t>
            </w:r>
          </w:p>
        </w:tc>
        <w:tc>
          <w:tcPr>
            <w:tcW w:w="1101" w:type="pct"/>
            <w:tcBorders>
              <w:top w:val="single" w:sz="6" w:space="0" w:color="auto"/>
              <w:left w:val="nil"/>
              <w:bottom w:val="single" w:sz="6" w:space="0" w:color="auto"/>
              <w:right w:val="nil"/>
            </w:tcBorders>
            <w:shd w:val="clear" w:color="auto" w:fill="auto"/>
            <w:noWrap/>
            <w:vAlign w:val="bottom"/>
            <w:hideMark/>
          </w:tcPr>
          <w:p w14:paraId="09194EE0"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 xml:space="preserve">Basic </w:t>
            </w:r>
            <w:r>
              <w:rPr>
                <w:rFonts w:ascii="Times New Roman" w:eastAsia="Times New Roman" w:hAnsi="Times New Roman" w:cs="Times New Roman"/>
                <w:color w:val="000000"/>
                <w:lang w:val="en-US" w:eastAsia="pl-PL"/>
              </w:rPr>
              <w:t>Materials</w:t>
            </w:r>
          </w:p>
        </w:tc>
      </w:tr>
      <w:tr w:rsidR="00E043A8" w:rsidRPr="00F0130C" w14:paraId="760A7AF5"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6173CD3E"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MBANK</w:t>
            </w:r>
          </w:p>
        </w:tc>
        <w:tc>
          <w:tcPr>
            <w:tcW w:w="582" w:type="pct"/>
            <w:tcBorders>
              <w:top w:val="single" w:sz="6" w:space="0" w:color="auto"/>
              <w:left w:val="nil"/>
              <w:bottom w:val="single" w:sz="6" w:space="0" w:color="auto"/>
              <w:right w:val="nil"/>
            </w:tcBorders>
            <w:shd w:val="clear" w:color="auto" w:fill="auto"/>
            <w:noWrap/>
            <w:vAlign w:val="bottom"/>
            <w:hideMark/>
          </w:tcPr>
          <w:p w14:paraId="32959F9D"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2.4610</w:t>
            </w:r>
          </w:p>
        </w:tc>
        <w:tc>
          <w:tcPr>
            <w:tcW w:w="617" w:type="pct"/>
            <w:tcBorders>
              <w:top w:val="single" w:sz="6" w:space="0" w:color="auto"/>
              <w:left w:val="nil"/>
              <w:bottom w:val="single" w:sz="6" w:space="0" w:color="auto"/>
              <w:right w:val="nil"/>
            </w:tcBorders>
            <w:shd w:val="clear" w:color="auto" w:fill="auto"/>
            <w:noWrap/>
            <w:vAlign w:val="bottom"/>
            <w:hideMark/>
          </w:tcPr>
          <w:p w14:paraId="3119069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8.0891</w:t>
            </w:r>
          </w:p>
        </w:tc>
        <w:tc>
          <w:tcPr>
            <w:tcW w:w="526" w:type="pct"/>
            <w:tcBorders>
              <w:top w:val="single" w:sz="6" w:space="0" w:color="auto"/>
              <w:left w:val="nil"/>
              <w:bottom w:val="single" w:sz="6" w:space="0" w:color="auto"/>
              <w:right w:val="nil"/>
            </w:tcBorders>
            <w:shd w:val="clear" w:color="auto" w:fill="auto"/>
            <w:noWrap/>
            <w:vAlign w:val="bottom"/>
            <w:hideMark/>
          </w:tcPr>
          <w:p w14:paraId="281E2C9D"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5.5250</w:t>
            </w:r>
          </w:p>
        </w:tc>
        <w:tc>
          <w:tcPr>
            <w:tcW w:w="582" w:type="pct"/>
            <w:tcBorders>
              <w:top w:val="single" w:sz="6" w:space="0" w:color="auto"/>
              <w:left w:val="nil"/>
              <w:bottom w:val="single" w:sz="6" w:space="0" w:color="auto"/>
              <w:right w:val="nil"/>
            </w:tcBorders>
            <w:shd w:val="clear" w:color="auto" w:fill="auto"/>
            <w:noWrap/>
            <w:vAlign w:val="bottom"/>
            <w:hideMark/>
          </w:tcPr>
          <w:p w14:paraId="28A25C80"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0.1290</w:t>
            </w:r>
          </w:p>
        </w:tc>
        <w:tc>
          <w:tcPr>
            <w:tcW w:w="709" w:type="pct"/>
            <w:tcBorders>
              <w:top w:val="single" w:sz="6" w:space="0" w:color="auto"/>
              <w:left w:val="nil"/>
              <w:bottom w:val="single" w:sz="6" w:space="0" w:color="auto"/>
              <w:right w:val="nil"/>
            </w:tcBorders>
            <w:shd w:val="clear" w:color="auto" w:fill="auto"/>
            <w:noWrap/>
            <w:vAlign w:val="bottom"/>
          </w:tcPr>
          <w:p w14:paraId="77C36FB1"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-0.0370</w:t>
            </w:r>
          </w:p>
        </w:tc>
        <w:tc>
          <w:tcPr>
            <w:tcW w:w="1101" w:type="pct"/>
            <w:tcBorders>
              <w:top w:val="single" w:sz="6" w:space="0" w:color="auto"/>
              <w:left w:val="nil"/>
              <w:bottom w:val="single" w:sz="6" w:space="0" w:color="auto"/>
              <w:right w:val="nil"/>
            </w:tcBorders>
            <w:shd w:val="clear" w:color="auto" w:fill="auto"/>
            <w:noWrap/>
            <w:vAlign w:val="bottom"/>
            <w:hideMark/>
          </w:tcPr>
          <w:p w14:paraId="1FA0C74C"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Banking</w:t>
            </w:r>
          </w:p>
        </w:tc>
      </w:tr>
      <w:tr w:rsidR="00E043A8" w:rsidRPr="00F0130C" w14:paraId="3FA16952"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0B1C0CBB"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LPP</w:t>
            </w:r>
          </w:p>
        </w:tc>
        <w:tc>
          <w:tcPr>
            <w:tcW w:w="582" w:type="pct"/>
            <w:tcBorders>
              <w:top w:val="single" w:sz="6" w:space="0" w:color="auto"/>
              <w:left w:val="nil"/>
              <w:bottom w:val="single" w:sz="6" w:space="0" w:color="auto"/>
              <w:right w:val="nil"/>
            </w:tcBorders>
            <w:shd w:val="clear" w:color="auto" w:fill="auto"/>
            <w:noWrap/>
            <w:vAlign w:val="bottom"/>
            <w:hideMark/>
          </w:tcPr>
          <w:p w14:paraId="4E2121FF"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3.0469</w:t>
            </w:r>
          </w:p>
        </w:tc>
        <w:tc>
          <w:tcPr>
            <w:tcW w:w="617" w:type="pct"/>
            <w:tcBorders>
              <w:top w:val="single" w:sz="6" w:space="0" w:color="auto"/>
              <w:left w:val="nil"/>
              <w:bottom w:val="single" w:sz="6" w:space="0" w:color="auto"/>
              <w:right w:val="nil"/>
            </w:tcBorders>
            <w:shd w:val="clear" w:color="auto" w:fill="auto"/>
            <w:noWrap/>
            <w:vAlign w:val="bottom"/>
            <w:hideMark/>
          </w:tcPr>
          <w:p w14:paraId="68221916"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10.6125</w:t>
            </w:r>
          </w:p>
        </w:tc>
        <w:tc>
          <w:tcPr>
            <w:tcW w:w="526" w:type="pct"/>
            <w:tcBorders>
              <w:top w:val="single" w:sz="6" w:space="0" w:color="auto"/>
              <w:left w:val="nil"/>
              <w:bottom w:val="single" w:sz="6" w:space="0" w:color="auto"/>
              <w:right w:val="nil"/>
            </w:tcBorders>
            <w:shd w:val="clear" w:color="auto" w:fill="auto"/>
            <w:noWrap/>
            <w:vAlign w:val="bottom"/>
            <w:hideMark/>
          </w:tcPr>
          <w:p w14:paraId="7F295EF1"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7.4652</w:t>
            </w:r>
          </w:p>
        </w:tc>
        <w:tc>
          <w:tcPr>
            <w:tcW w:w="582" w:type="pct"/>
            <w:tcBorders>
              <w:top w:val="single" w:sz="6" w:space="0" w:color="auto"/>
              <w:left w:val="nil"/>
              <w:bottom w:val="single" w:sz="6" w:space="0" w:color="auto"/>
              <w:right w:val="nil"/>
            </w:tcBorders>
            <w:shd w:val="clear" w:color="auto" w:fill="auto"/>
            <w:noWrap/>
            <w:vAlign w:val="bottom"/>
            <w:hideMark/>
          </w:tcPr>
          <w:p w14:paraId="712C50B7"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-0.0344</w:t>
            </w:r>
          </w:p>
        </w:tc>
        <w:tc>
          <w:tcPr>
            <w:tcW w:w="709" w:type="pct"/>
            <w:tcBorders>
              <w:top w:val="single" w:sz="6" w:space="0" w:color="auto"/>
              <w:left w:val="nil"/>
              <w:bottom w:val="single" w:sz="6" w:space="0" w:color="auto"/>
              <w:right w:val="nil"/>
            </w:tcBorders>
            <w:shd w:val="clear" w:color="auto" w:fill="auto"/>
            <w:noWrap/>
            <w:vAlign w:val="bottom"/>
          </w:tcPr>
          <w:p w14:paraId="4C215E69"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1.3425</w:t>
            </w:r>
          </w:p>
        </w:tc>
        <w:tc>
          <w:tcPr>
            <w:tcW w:w="1101" w:type="pct"/>
            <w:tcBorders>
              <w:top w:val="single" w:sz="6" w:space="0" w:color="auto"/>
              <w:left w:val="nil"/>
              <w:bottom w:val="single" w:sz="6" w:space="0" w:color="auto"/>
              <w:right w:val="nil"/>
            </w:tcBorders>
            <w:shd w:val="clear" w:color="auto" w:fill="auto"/>
            <w:noWrap/>
            <w:vAlign w:val="bottom"/>
            <w:hideMark/>
          </w:tcPr>
          <w:p w14:paraId="372FCB92"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Retail trade</w:t>
            </w:r>
          </w:p>
        </w:tc>
      </w:tr>
      <w:tr w:rsidR="00E043A8" w:rsidRPr="00F0130C" w14:paraId="4774E1AF"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2E523AFE"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ORANGEPL</w:t>
            </w:r>
          </w:p>
        </w:tc>
        <w:tc>
          <w:tcPr>
            <w:tcW w:w="582" w:type="pct"/>
            <w:tcBorders>
              <w:top w:val="single" w:sz="6" w:space="0" w:color="auto"/>
              <w:left w:val="nil"/>
              <w:bottom w:val="single" w:sz="6" w:space="0" w:color="auto"/>
              <w:right w:val="nil"/>
            </w:tcBorders>
            <w:shd w:val="clear" w:color="auto" w:fill="auto"/>
            <w:noWrap/>
            <w:vAlign w:val="bottom"/>
            <w:hideMark/>
          </w:tcPr>
          <w:p w14:paraId="23ADF1B3"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-0.5432</w:t>
            </w:r>
          </w:p>
        </w:tc>
        <w:tc>
          <w:tcPr>
            <w:tcW w:w="617" w:type="pct"/>
            <w:tcBorders>
              <w:top w:val="single" w:sz="6" w:space="0" w:color="auto"/>
              <w:left w:val="nil"/>
              <w:bottom w:val="single" w:sz="6" w:space="0" w:color="auto"/>
              <w:right w:val="nil"/>
            </w:tcBorders>
            <w:shd w:val="clear" w:color="auto" w:fill="auto"/>
            <w:noWrap/>
            <w:vAlign w:val="bottom"/>
            <w:hideMark/>
          </w:tcPr>
          <w:p w14:paraId="631E282E"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9.9611</w:t>
            </w:r>
          </w:p>
        </w:tc>
        <w:tc>
          <w:tcPr>
            <w:tcW w:w="526" w:type="pct"/>
            <w:tcBorders>
              <w:top w:val="single" w:sz="6" w:space="0" w:color="auto"/>
              <w:left w:val="nil"/>
              <w:bottom w:val="single" w:sz="6" w:space="0" w:color="auto"/>
              <w:right w:val="nil"/>
            </w:tcBorders>
            <w:shd w:val="clear" w:color="auto" w:fill="auto"/>
            <w:noWrap/>
            <w:vAlign w:val="bottom"/>
            <w:hideMark/>
          </w:tcPr>
          <w:p w14:paraId="16F869D8"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8.1673</w:t>
            </w:r>
          </w:p>
        </w:tc>
        <w:tc>
          <w:tcPr>
            <w:tcW w:w="582" w:type="pct"/>
            <w:tcBorders>
              <w:top w:val="single" w:sz="6" w:space="0" w:color="auto"/>
              <w:left w:val="nil"/>
              <w:bottom w:val="single" w:sz="6" w:space="0" w:color="auto"/>
              <w:right w:val="nil"/>
            </w:tcBorders>
            <w:shd w:val="clear" w:color="auto" w:fill="auto"/>
            <w:noWrap/>
            <w:vAlign w:val="bottom"/>
            <w:hideMark/>
          </w:tcPr>
          <w:p w14:paraId="530143FB"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-2.1376</w:t>
            </w:r>
          </w:p>
        </w:tc>
        <w:tc>
          <w:tcPr>
            <w:tcW w:w="709" w:type="pct"/>
            <w:tcBorders>
              <w:top w:val="single" w:sz="6" w:space="0" w:color="auto"/>
              <w:left w:val="nil"/>
              <w:bottom w:val="single" w:sz="6" w:space="0" w:color="auto"/>
              <w:right w:val="nil"/>
            </w:tcBorders>
            <w:shd w:val="clear" w:color="auto" w:fill="auto"/>
            <w:noWrap/>
            <w:vAlign w:val="bottom"/>
          </w:tcPr>
          <w:p w14:paraId="7299DD15"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9.6160</w:t>
            </w:r>
          </w:p>
        </w:tc>
        <w:tc>
          <w:tcPr>
            <w:tcW w:w="1101" w:type="pct"/>
            <w:tcBorders>
              <w:top w:val="single" w:sz="6" w:space="0" w:color="auto"/>
              <w:left w:val="nil"/>
              <w:bottom w:val="single" w:sz="6" w:space="0" w:color="auto"/>
              <w:right w:val="nil"/>
            </w:tcBorders>
            <w:shd w:val="clear" w:color="auto" w:fill="auto"/>
            <w:noWrap/>
            <w:vAlign w:val="bottom"/>
            <w:hideMark/>
          </w:tcPr>
          <w:p w14:paraId="13C353DC"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Telecommunication</w:t>
            </w:r>
          </w:p>
        </w:tc>
      </w:tr>
      <w:tr w:rsidR="00E043A8" w:rsidRPr="00F0130C" w14:paraId="59864554"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6A02CA58"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EUROCASH</w:t>
            </w:r>
          </w:p>
        </w:tc>
        <w:tc>
          <w:tcPr>
            <w:tcW w:w="582" w:type="pct"/>
            <w:tcBorders>
              <w:top w:val="single" w:sz="6" w:space="0" w:color="auto"/>
              <w:left w:val="nil"/>
              <w:bottom w:val="single" w:sz="6" w:space="0" w:color="auto"/>
              <w:right w:val="nil"/>
            </w:tcBorders>
            <w:shd w:val="clear" w:color="auto" w:fill="auto"/>
            <w:noWrap/>
            <w:vAlign w:val="bottom"/>
            <w:hideMark/>
          </w:tcPr>
          <w:p w14:paraId="08196EA9"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2.3981</w:t>
            </w:r>
          </w:p>
        </w:tc>
        <w:tc>
          <w:tcPr>
            <w:tcW w:w="617" w:type="pct"/>
            <w:tcBorders>
              <w:top w:val="single" w:sz="6" w:space="0" w:color="auto"/>
              <w:left w:val="nil"/>
              <w:bottom w:val="single" w:sz="6" w:space="0" w:color="auto"/>
              <w:right w:val="nil"/>
            </w:tcBorders>
            <w:shd w:val="clear" w:color="auto" w:fill="auto"/>
            <w:noWrap/>
            <w:vAlign w:val="bottom"/>
            <w:hideMark/>
          </w:tcPr>
          <w:p w14:paraId="52B6F0F5"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8.0072</w:t>
            </w:r>
          </w:p>
        </w:tc>
        <w:tc>
          <w:tcPr>
            <w:tcW w:w="526" w:type="pct"/>
            <w:tcBorders>
              <w:top w:val="single" w:sz="6" w:space="0" w:color="auto"/>
              <w:left w:val="nil"/>
              <w:bottom w:val="single" w:sz="6" w:space="0" w:color="auto"/>
              <w:right w:val="nil"/>
            </w:tcBorders>
            <w:shd w:val="clear" w:color="auto" w:fill="auto"/>
            <w:noWrap/>
            <w:vAlign w:val="bottom"/>
            <w:hideMark/>
          </w:tcPr>
          <w:p w14:paraId="4F46BD3F"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5.3883</w:t>
            </w:r>
          </w:p>
        </w:tc>
        <w:tc>
          <w:tcPr>
            <w:tcW w:w="582" w:type="pct"/>
            <w:tcBorders>
              <w:top w:val="single" w:sz="6" w:space="0" w:color="auto"/>
              <w:left w:val="nil"/>
              <w:bottom w:val="single" w:sz="6" w:space="0" w:color="auto"/>
              <w:right w:val="nil"/>
            </w:tcBorders>
            <w:shd w:val="clear" w:color="auto" w:fill="auto"/>
            <w:noWrap/>
            <w:vAlign w:val="bottom"/>
            <w:hideMark/>
          </w:tcPr>
          <w:p w14:paraId="67D6F659"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0.1656</w:t>
            </w:r>
          </w:p>
        </w:tc>
        <w:tc>
          <w:tcPr>
            <w:tcW w:w="709" w:type="pct"/>
            <w:tcBorders>
              <w:top w:val="single" w:sz="6" w:space="0" w:color="auto"/>
              <w:left w:val="nil"/>
              <w:bottom w:val="single" w:sz="6" w:space="0" w:color="auto"/>
              <w:right w:val="nil"/>
            </w:tcBorders>
            <w:shd w:val="clear" w:color="auto" w:fill="auto"/>
            <w:noWrap/>
            <w:vAlign w:val="bottom"/>
          </w:tcPr>
          <w:p w14:paraId="3CB593B7"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-0.5647</w:t>
            </w:r>
          </w:p>
        </w:tc>
        <w:tc>
          <w:tcPr>
            <w:tcW w:w="1101" w:type="pct"/>
            <w:tcBorders>
              <w:top w:val="single" w:sz="6" w:space="0" w:color="auto"/>
              <w:left w:val="nil"/>
              <w:bottom w:val="single" w:sz="6" w:space="0" w:color="auto"/>
              <w:right w:val="nil"/>
            </w:tcBorders>
            <w:shd w:val="clear" w:color="auto" w:fill="auto"/>
            <w:noWrap/>
            <w:vAlign w:val="bottom"/>
            <w:hideMark/>
          </w:tcPr>
          <w:p w14:paraId="1CF0B617"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Retail trade</w:t>
            </w:r>
          </w:p>
        </w:tc>
      </w:tr>
      <w:tr w:rsidR="00E043A8" w:rsidRPr="00F0130C" w14:paraId="4C061956"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0F1E9178"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SYNTHOS</w:t>
            </w:r>
          </w:p>
        </w:tc>
        <w:tc>
          <w:tcPr>
            <w:tcW w:w="582" w:type="pct"/>
            <w:tcBorders>
              <w:top w:val="single" w:sz="6" w:space="0" w:color="auto"/>
              <w:left w:val="nil"/>
              <w:bottom w:val="single" w:sz="6" w:space="0" w:color="auto"/>
              <w:right w:val="nil"/>
            </w:tcBorders>
            <w:shd w:val="clear" w:color="auto" w:fill="auto"/>
            <w:noWrap/>
            <w:vAlign w:val="bottom"/>
            <w:hideMark/>
          </w:tcPr>
          <w:p w14:paraId="22BF55ED"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2.3624</w:t>
            </w:r>
          </w:p>
        </w:tc>
        <w:tc>
          <w:tcPr>
            <w:tcW w:w="617" w:type="pct"/>
            <w:tcBorders>
              <w:top w:val="single" w:sz="6" w:space="0" w:color="auto"/>
              <w:left w:val="nil"/>
              <w:bottom w:val="single" w:sz="6" w:space="0" w:color="auto"/>
              <w:right w:val="nil"/>
            </w:tcBorders>
            <w:shd w:val="clear" w:color="auto" w:fill="auto"/>
            <w:noWrap/>
            <w:vAlign w:val="bottom"/>
            <w:hideMark/>
          </w:tcPr>
          <w:p w14:paraId="21503AD1"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10.5025</w:t>
            </w:r>
          </w:p>
        </w:tc>
        <w:tc>
          <w:tcPr>
            <w:tcW w:w="526" w:type="pct"/>
            <w:tcBorders>
              <w:top w:val="single" w:sz="6" w:space="0" w:color="auto"/>
              <w:left w:val="nil"/>
              <w:bottom w:val="single" w:sz="6" w:space="0" w:color="auto"/>
              <w:right w:val="nil"/>
            </w:tcBorders>
            <w:shd w:val="clear" w:color="auto" w:fill="auto"/>
            <w:noWrap/>
            <w:vAlign w:val="bottom"/>
            <w:hideMark/>
          </w:tcPr>
          <w:p w14:paraId="1DED35FA"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7.3705</w:t>
            </w:r>
          </w:p>
        </w:tc>
        <w:tc>
          <w:tcPr>
            <w:tcW w:w="582" w:type="pct"/>
            <w:tcBorders>
              <w:top w:val="single" w:sz="6" w:space="0" w:color="auto"/>
              <w:left w:val="nil"/>
              <w:bottom w:val="single" w:sz="6" w:space="0" w:color="auto"/>
              <w:right w:val="nil"/>
            </w:tcBorders>
            <w:shd w:val="clear" w:color="auto" w:fill="auto"/>
            <w:noWrap/>
            <w:vAlign w:val="bottom"/>
            <w:hideMark/>
          </w:tcPr>
          <w:p w14:paraId="303C6753"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-0.1622</w:t>
            </w:r>
          </w:p>
        </w:tc>
        <w:tc>
          <w:tcPr>
            <w:tcW w:w="709" w:type="pct"/>
            <w:tcBorders>
              <w:top w:val="single" w:sz="6" w:space="0" w:color="auto"/>
              <w:left w:val="nil"/>
              <w:bottom w:val="single" w:sz="6" w:space="0" w:color="auto"/>
              <w:right w:val="nil"/>
            </w:tcBorders>
            <w:shd w:val="clear" w:color="auto" w:fill="auto"/>
            <w:noWrap/>
            <w:vAlign w:val="bottom"/>
          </w:tcPr>
          <w:p w14:paraId="1854BB23"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1.5900</w:t>
            </w:r>
          </w:p>
        </w:tc>
        <w:tc>
          <w:tcPr>
            <w:tcW w:w="1101" w:type="pct"/>
            <w:tcBorders>
              <w:top w:val="single" w:sz="6" w:space="0" w:color="auto"/>
              <w:left w:val="nil"/>
              <w:bottom w:val="single" w:sz="6" w:space="0" w:color="auto"/>
              <w:right w:val="nil"/>
            </w:tcBorders>
            <w:shd w:val="clear" w:color="auto" w:fill="auto"/>
            <w:noWrap/>
            <w:vAlign w:val="bottom"/>
            <w:hideMark/>
          </w:tcPr>
          <w:p w14:paraId="059BFB58"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Chemicals</w:t>
            </w:r>
          </w:p>
        </w:tc>
      </w:tr>
      <w:tr w:rsidR="00E043A8" w:rsidRPr="00F0130C" w14:paraId="56712385"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2106E531"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ASSECOPOL</w:t>
            </w:r>
          </w:p>
        </w:tc>
        <w:tc>
          <w:tcPr>
            <w:tcW w:w="582" w:type="pct"/>
            <w:tcBorders>
              <w:top w:val="single" w:sz="6" w:space="0" w:color="auto"/>
              <w:left w:val="nil"/>
              <w:bottom w:val="single" w:sz="6" w:space="0" w:color="auto"/>
              <w:right w:val="nil"/>
            </w:tcBorders>
            <w:shd w:val="clear" w:color="auto" w:fill="auto"/>
            <w:noWrap/>
            <w:vAlign w:val="bottom"/>
            <w:hideMark/>
          </w:tcPr>
          <w:p w14:paraId="20934053"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1.0663</w:t>
            </w:r>
          </w:p>
        </w:tc>
        <w:tc>
          <w:tcPr>
            <w:tcW w:w="617" w:type="pct"/>
            <w:tcBorders>
              <w:top w:val="single" w:sz="6" w:space="0" w:color="auto"/>
              <w:left w:val="nil"/>
              <w:bottom w:val="single" w:sz="6" w:space="0" w:color="auto"/>
              <w:right w:val="nil"/>
            </w:tcBorders>
            <w:shd w:val="clear" w:color="auto" w:fill="auto"/>
            <w:noWrap/>
            <w:vAlign w:val="bottom"/>
            <w:hideMark/>
          </w:tcPr>
          <w:p w14:paraId="4C177A7B"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7.3907</w:t>
            </w:r>
          </w:p>
        </w:tc>
        <w:tc>
          <w:tcPr>
            <w:tcW w:w="526" w:type="pct"/>
            <w:tcBorders>
              <w:top w:val="single" w:sz="6" w:space="0" w:color="auto"/>
              <w:left w:val="nil"/>
              <w:bottom w:val="single" w:sz="6" w:space="0" w:color="auto"/>
              <w:right w:val="nil"/>
            </w:tcBorders>
            <w:shd w:val="clear" w:color="auto" w:fill="auto"/>
            <w:noWrap/>
            <w:vAlign w:val="bottom"/>
            <w:hideMark/>
          </w:tcPr>
          <w:p w14:paraId="3BC2A1B7"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4.8674</w:t>
            </w:r>
          </w:p>
        </w:tc>
        <w:tc>
          <w:tcPr>
            <w:tcW w:w="582" w:type="pct"/>
            <w:tcBorders>
              <w:top w:val="single" w:sz="6" w:space="0" w:color="auto"/>
              <w:left w:val="nil"/>
              <w:bottom w:val="single" w:sz="6" w:space="0" w:color="auto"/>
              <w:right w:val="nil"/>
            </w:tcBorders>
            <w:shd w:val="clear" w:color="auto" w:fill="auto"/>
            <w:noWrap/>
            <w:vAlign w:val="bottom"/>
            <w:hideMark/>
          </w:tcPr>
          <w:p w14:paraId="34C2CBF0"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0.4115</w:t>
            </w:r>
          </w:p>
        </w:tc>
        <w:tc>
          <w:tcPr>
            <w:tcW w:w="709" w:type="pct"/>
            <w:tcBorders>
              <w:top w:val="single" w:sz="6" w:space="0" w:color="auto"/>
              <w:left w:val="nil"/>
              <w:bottom w:val="single" w:sz="6" w:space="0" w:color="auto"/>
              <w:right w:val="nil"/>
            </w:tcBorders>
            <w:shd w:val="clear" w:color="auto" w:fill="auto"/>
            <w:noWrap/>
            <w:vAlign w:val="bottom"/>
          </w:tcPr>
          <w:p w14:paraId="30168397"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1.3228</w:t>
            </w:r>
          </w:p>
        </w:tc>
        <w:tc>
          <w:tcPr>
            <w:tcW w:w="1101" w:type="pct"/>
            <w:tcBorders>
              <w:top w:val="single" w:sz="6" w:space="0" w:color="auto"/>
              <w:left w:val="nil"/>
              <w:bottom w:val="single" w:sz="6" w:space="0" w:color="auto"/>
              <w:right w:val="nil"/>
            </w:tcBorders>
            <w:shd w:val="clear" w:color="auto" w:fill="auto"/>
            <w:noWrap/>
            <w:vAlign w:val="bottom"/>
            <w:hideMark/>
          </w:tcPr>
          <w:p w14:paraId="6AC303AE" w14:textId="77777777" w:rsidR="00E043A8" w:rsidRPr="00F0130C" w:rsidRDefault="00E043A8" w:rsidP="00747B41">
            <w:pPr>
              <w:keepNext/>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IT</w:t>
            </w:r>
          </w:p>
        </w:tc>
      </w:tr>
    </w:tbl>
    <w:p w14:paraId="58EFC206" w14:textId="66E280EA" w:rsidR="00747B41" w:rsidRPr="005271FF" w:rsidRDefault="00F0130C" w:rsidP="005271FF">
      <w:pPr>
        <w:pStyle w:val="Legenda"/>
        <w:contextualSpacing/>
        <w:rPr>
          <w:rFonts w:ascii="Times New Roman" w:hAnsi="Times New Roman" w:cs="Times New Roman"/>
          <w:b w:val="0"/>
          <w:color w:val="auto"/>
          <w:sz w:val="20"/>
          <w:lang w:val="en-US"/>
        </w:rPr>
      </w:pPr>
      <w:r w:rsidRPr="00B30FE4">
        <w:rPr>
          <w:rFonts w:ascii="Times New Roman" w:hAnsi="Times New Roman" w:cs="Times New Roman"/>
          <w:b w:val="0"/>
          <w:color w:val="auto"/>
          <w:sz w:val="20"/>
          <w:lang w:val="en-US"/>
        </w:rPr>
        <w:t>Source: own calculations.</w:t>
      </w:r>
      <w:r w:rsidR="005271FF">
        <w:rPr>
          <w:rFonts w:ascii="Times New Roman" w:hAnsi="Times New Roman" w:cs="Times New Roman"/>
          <w:b w:val="0"/>
          <w:color w:val="auto"/>
          <w:sz w:val="20"/>
          <w:lang w:val="en-US"/>
        </w:rPr>
        <w:br/>
      </w:r>
    </w:p>
    <w:p w14:paraId="4D6C8214" w14:textId="1B466A5A" w:rsidR="00E043A8" w:rsidRDefault="00DD3151" w:rsidP="00747B41">
      <w:pPr>
        <w:pStyle w:val="Legenda"/>
        <w:keepNext/>
        <w:contextualSpacing/>
        <w:jc w:val="center"/>
        <w:rPr>
          <w:rFonts w:ascii="Times New Roman" w:eastAsia="Times New Roman" w:hAnsi="Times New Roman" w:cs="Times New Roman"/>
          <w:b w:val="0"/>
          <w:color w:val="000000"/>
          <w:sz w:val="24"/>
          <w:szCs w:val="24"/>
          <w:lang w:val="en-US" w:eastAsia="pl-PL"/>
        </w:rPr>
      </w:pPr>
      <w:r>
        <w:rPr>
          <w:rFonts w:ascii="Times New Roman" w:eastAsia="Times New Roman" w:hAnsi="Times New Roman" w:cs="Times New Roman"/>
          <w:b w:val="0"/>
          <w:color w:val="000000"/>
          <w:sz w:val="24"/>
          <w:szCs w:val="24"/>
          <w:lang w:val="en-US" w:eastAsia="pl-PL"/>
        </w:rPr>
        <w:t xml:space="preserve">Table </w:t>
      </w:r>
      <w:r w:rsidR="00691806" w:rsidRPr="00B30FE4">
        <w:rPr>
          <w:rFonts w:ascii="Times New Roman" w:eastAsia="Times New Roman" w:hAnsi="Times New Roman" w:cs="Times New Roman"/>
          <w:b w:val="0"/>
          <w:color w:val="000000"/>
          <w:sz w:val="24"/>
          <w:szCs w:val="24"/>
          <w:lang w:val="en-US" w:eastAsia="pl-PL"/>
        </w:rPr>
        <w:t>3.  Descriptive statistics of the rates of return of the WIG20 index in the period of bear market</w:t>
      </w:r>
    </w:p>
    <w:tbl>
      <w:tblPr>
        <w:tblW w:w="5000" w:type="pct"/>
        <w:tblCellMar>
          <w:left w:w="70" w:type="dxa"/>
          <w:right w:w="70" w:type="dxa"/>
        </w:tblCellMar>
        <w:tblLook w:val="04A0" w:firstRow="1" w:lastRow="0" w:firstColumn="1" w:lastColumn="0" w:noHBand="0" w:noVBand="1"/>
      </w:tblPr>
      <w:tblGrid>
        <w:gridCol w:w="1605"/>
        <w:gridCol w:w="1056"/>
        <w:gridCol w:w="1119"/>
        <w:gridCol w:w="954"/>
        <w:gridCol w:w="1056"/>
        <w:gridCol w:w="1286"/>
        <w:gridCol w:w="1996"/>
      </w:tblGrid>
      <w:tr w:rsidR="00E043A8" w:rsidRPr="00F0130C" w14:paraId="0C05F986" w14:textId="77777777" w:rsidTr="00E043A8">
        <w:trPr>
          <w:trHeight w:val="322"/>
        </w:trPr>
        <w:tc>
          <w:tcPr>
            <w:tcW w:w="884" w:type="pct"/>
            <w:tcBorders>
              <w:top w:val="double" w:sz="4" w:space="0" w:color="auto"/>
              <w:left w:val="nil"/>
              <w:bottom w:val="double" w:sz="4" w:space="0" w:color="auto"/>
              <w:right w:val="nil"/>
            </w:tcBorders>
            <w:shd w:val="clear" w:color="auto" w:fill="auto"/>
            <w:noWrap/>
            <w:vAlign w:val="bottom"/>
            <w:hideMark/>
          </w:tcPr>
          <w:p w14:paraId="3D804881"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Company</w:t>
            </w:r>
          </w:p>
        </w:tc>
        <w:tc>
          <w:tcPr>
            <w:tcW w:w="582" w:type="pct"/>
            <w:tcBorders>
              <w:top w:val="double" w:sz="4" w:space="0" w:color="auto"/>
              <w:left w:val="nil"/>
              <w:bottom w:val="double" w:sz="4" w:space="0" w:color="auto"/>
              <w:right w:val="nil"/>
            </w:tcBorders>
            <w:shd w:val="clear" w:color="auto" w:fill="auto"/>
            <w:noWrap/>
            <w:vAlign w:val="bottom"/>
            <w:hideMark/>
          </w:tcPr>
          <w:p w14:paraId="7D6A4072" w14:textId="77777777" w:rsidR="00E043A8" w:rsidRPr="00F0130C" w:rsidRDefault="00F031A2" w:rsidP="00747B41">
            <w:pPr>
              <w:spacing w:after="0" w:line="240" w:lineRule="auto"/>
              <w:contextualSpacing/>
              <w:jc w:val="center"/>
              <w:rPr>
                <w:rFonts w:ascii="Times New Roman" w:eastAsia="Times New Roman" w:hAnsi="Times New Roman" w:cs="Times New Roman"/>
                <w:color w:val="000000"/>
                <w:lang w:val="en-US" w:eastAsia="pl-PL"/>
              </w:rPr>
            </w:pPr>
            <m:oMathPara>
              <m:oMath>
                <m:acc>
                  <m:accPr>
                    <m:chr m:val="̅"/>
                    <m:ctrlPr>
                      <w:rPr>
                        <w:rFonts w:ascii="Cambria Math" w:eastAsia="Times New Roman" w:hAnsi="Cambria Math" w:cs="Times New Roman"/>
                        <w:i/>
                        <w:color w:val="000000"/>
                        <w:lang w:val="en-US" w:eastAsia="pl-PL"/>
                      </w:rPr>
                    </m:ctrlPr>
                  </m:accPr>
                  <m:e>
                    <m:r>
                      <w:rPr>
                        <w:rFonts w:ascii="Cambria Math" w:eastAsia="Times New Roman" w:hAnsi="Cambria Math" w:cs="Times New Roman"/>
                        <w:color w:val="000000"/>
                        <w:lang w:val="en-US" w:eastAsia="pl-PL"/>
                      </w:rPr>
                      <m:t>R</m:t>
                    </m:r>
                  </m:e>
                </m:acc>
              </m:oMath>
            </m:oMathPara>
          </w:p>
        </w:tc>
        <w:tc>
          <w:tcPr>
            <w:tcW w:w="617" w:type="pct"/>
            <w:tcBorders>
              <w:top w:val="double" w:sz="4" w:space="0" w:color="auto"/>
              <w:left w:val="nil"/>
              <w:bottom w:val="double" w:sz="4" w:space="0" w:color="auto"/>
              <w:right w:val="nil"/>
            </w:tcBorders>
            <w:shd w:val="clear" w:color="auto" w:fill="auto"/>
            <w:noWrap/>
            <w:vAlign w:val="bottom"/>
            <w:hideMark/>
          </w:tcPr>
          <w:p w14:paraId="70374F78"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S</w:t>
            </w:r>
          </w:p>
        </w:tc>
        <w:tc>
          <w:tcPr>
            <w:tcW w:w="526" w:type="pct"/>
            <w:tcBorders>
              <w:top w:val="double" w:sz="4" w:space="0" w:color="auto"/>
              <w:left w:val="nil"/>
              <w:bottom w:val="double" w:sz="4" w:space="0" w:color="auto"/>
              <w:right w:val="nil"/>
            </w:tcBorders>
            <w:shd w:val="clear" w:color="auto" w:fill="auto"/>
            <w:noWrap/>
            <w:vAlign w:val="bottom"/>
            <w:hideMark/>
          </w:tcPr>
          <w:p w14:paraId="14F0AAC1"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SS</w:t>
            </w:r>
          </w:p>
        </w:tc>
        <w:tc>
          <w:tcPr>
            <w:tcW w:w="582" w:type="pct"/>
            <w:tcBorders>
              <w:top w:val="double" w:sz="4" w:space="0" w:color="auto"/>
              <w:left w:val="nil"/>
              <w:bottom w:val="double" w:sz="4" w:space="0" w:color="auto"/>
              <w:right w:val="nil"/>
            </w:tcBorders>
            <w:shd w:val="clear" w:color="auto" w:fill="auto"/>
            <w:noWrap/>
            <w:vAlign w:val="bottom"/>
            <w:hideMark/>
          </w:tcPr>
          <w:p w14:paraId="6FD360D6"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A</w:t>
            </w:r>
          </w:p>
        </w:tc>
        <w:tc>
          <w:tcPr>
            <w:tcW w:w="709" w:type="pct"/>
            <w:tcBorders>
              <w:top w:val="double" w:sz="4" w:space="0" w:color="auto"/>
              <w:left w:val="nil"/>
              <w:bottom w:val="double" w:sz="4" w:space="0" w:color="auto"/>
              <w:right w:val="nil"/>
            </w:tcBorders>
            <w:shd w:val="clear" w:color="auto" w:fill="auto"/>
            <w:noWrap/>
            <w:vAlign w:val="bottom"/>
            <w:hideMark/>
          </w:tcPr>
          <w:p w14:paraId="1B36F0D3"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K</w:t>
            </w:r>
          </w:p>
        </w:tc>
        <w:tc>
          <w:tcPr>
            <w:tcW w:w="1101" w:type="pct"/>
            <w:tcBorders>
              <w:top w:val="double" w:sz="4" w:space="0" w:color="auto"/>
              <w:left w:val="nil"/>
              <w:bottom w:val="double" w:sz="4" w:space="0" w:color="auto"/>
              <w:right w:val="nil"/>
            </w:tcBorders>
            <w:shd w:val="clear" w:color="auto" w:fill="auto"/>
            <w:noWrap/>
            <w:vAlign w:val="bottom"/>
            <w:hideMark/>
          </w:tcPr>
          <w:p w14:paraId="25C18487"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Sector</w:t>
            </w:r>
          </w:p>
        </w:tc>
      </w:tr>
      <w:tr w:rsidR="00E043A8" w:rsidRPr="00F0130C" w14:paraId="0E23DD60" w14:textId="77777777" w:rsidTr="00E043A8">
        <w:trPr>
          <w:trHeight w:val="322"/>
        </w:trPr>
        <w:tc>
          <w:tcPr>
            <w:tcW w:w="884" w:type="pct"/>
            <w:tcBorders>
              <w:top w:val="double" w:sz="4" w:space="0" w:color="auto"/>
              <w:left w:val="nil"/>
              <w:bottom w:val="single" w:sz="6" w:space="0" w:color="auto"/>
              <w:right w:val="nil"/>
            </w:tcBorders>
            <w:shd w:val="clear" w:color="auto" w:fill="auto"/>
            <w:noWrap/>
            <w:vAlign w:val="center"/>
            <w:hideMark/>
          </w:tcPr>
          <w:p w14:paraId="5C425249"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PGNIG</w:t>
            </w:r>
          </w:p>
        </w:tc>
        <w:tc>
          <w:tcPr>
            <w:tcW w:w="582" w:type="pct"/>
            <w:tcBorders>
              <w:top w:val="double" w:sz="4" w:space="0" w:color="auto"/>
              <w:left w:val="nil"/>
              <w:bottom w:val="single" w:sz="6" w:space="0" w:color="auto"/>
              <w:right w:val="nil"/>
            </w:tcBorders>
            <w:shd w:val="clear" w:color="auto" w:fill="auto"/>
            <w:noWrap/>
            <w:vAlign w:val="bottom"/>
            <w:hideMark/>
          </w:tcPr>
          <w:p w14:paraId="775B94BB"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-1.0679</w:t>
            </w:r>
          </w:p>
        </w:tc>
        <w:tc>
          <w:tcPr>
            <w:tcW w:w="617" w:type="pct"/>
            <w:tcBorders>
              <w:top w:val="double" w:sz="4" w:space="0" w:color="auto"/>
              <w:left w:val="nil"/>
              <w:bottom w:val="single" w:sz="6" w:space="0" w:color="auto"/>
              <w:right w:val="nil"/>
            </w:tcBorders>
            <w:shd w:val="clear" w:color="auto" w:fill="auto"/>
            <w:noWrap/>
            <w:vAlign w:val="bottom"/>
            <w:hideMark/>
          </w:tcPr>
          <w:p w14:paraId="0F65BE73"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8.4861</w:t>
            </w:r>
          </w:p>
        </w:tc>
        <w:tc>
          <w:tcPr>
            <w:tcW w:w="526" w:type="pct"/>
            <w:tcBorders>
              <w:top w:val="double" w:sz="4" w:space="0" w:color="auto"/>
              <w:left w:val="nil"/>
              <w:bottom w:val="single" w:sz="6" w:space="0" w:color="auto"/>
              <w:right w:val="nil"/>
            </w:tcBorders>
            <w:shd w:val="clear" w:color="auto" w:fill="auto"/>
            <w:noWrap/>
            <w:vAlign w:val="bottom"/>
            <w:hideMark/>
          </w:tcPr>
          <w:p w14:paraId="4D4806A3"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5.9943</w:t>
            </w:r>
          </w:p>
        </w:tc>
        <w:tc>
          <w:tcPr>
            <w:tcW w:w="582" w:type="pct"/>
            <w:tcBorders>
              <w:top w:val="double" w:sz="4" w:space="0" w:color="auto"/>
              <w:left w:val="nil"/>
              <w:bottom w:val="single" w:sz="6" w:space="0" w:color="auto"/>
              <w:right w:val="nil"/>
            </w:tcBorders>
            <w:shd w:val="clear" w:color="auto" w:fill="auto"/>
            <w:noWrap/>
            <w:vAlign w:val="bottom"/>
            <w:hideMark/>
          </w:tcPr>
          <w:p w14:paraId="5F337248"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-0.1452</w:t>
            </w:r>
          </w:p>
        </w:tc>
        <w:tc>
          <w:tcPr>
            <w:tcW w:w="709" w:type="pct"/>
            <w:tcBorders>
              <w:top w:val="double" w:sz="4" w:space="0" w:color="auto"/>
              <w:left w:val="nil"/>
              <w:bottom w:val="single" w:sz="6" w:space="0" w:color="auto"/>
              <w:right w:val="nil"/>
            </w:tcBorders>
            <w:shd w:val="clear" w:color="auto" w:fill="auto"/>
            <w:noWrap/>
            <w:vAlign w:val="bottom"/>
          </w:tcPr>
          <w:p w14:paraId="53B4108B"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-0.1937</w:t>
            </w:r>
          </w:p>
        </w:tc>
        <w:tc>
          <w:tcPr>
            <w:tcW w:w="1101" w:type="pct"/>
            <w:tcBorders>
              <w:top w:val="double" w:sz="4" w:space="0" w:color="auto"/>
              <w:left w:val="nil"/>
              <w:bottom w:val="single" w:sz="6" w:space="0" w:color="auto"/>
              <w:right w:val="nil"/>
            </w:tcBorders>
            <w:shd w:val="clear" w:color="auto" w:fill="auto"/>
            <w:noWrap/>
            <w:vAlign w:val="bottom"/>
            <w:hideMark/>
          </w:tcPr>
          <w:p w14:paraId="3DEB7CE9"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Oil &amp; Gas</w:t>
            </w:r>
          </w:p>
        </w:tc>
      </w:tr>
      <w:tr w:rsidR="00E043A8" w:rsidRPr="00F0130C" w14:paraId="5992A1E1"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10F0607A"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PEKAO</w:t>
            </w:r>
          </w:p>
        </w:tc>
        <w:tc>
          <w:tcPr>
            <w:tcW w:w="582" w:type="pct"/>
            <w:tcBorders>
              <w:top w:val="single" w:sz="6" w:space="0" w:color="auto"/>
              <w:left w:val="nil"/>
              <w:bottom w:val="single" w:sz="6" w:space="0" w:color="auto"/>
              <w:right w:val="nil"/>
            </w:tcBorders>
            <w:shd w:val="clear" w:color="auto" w:fill="auto"/>
            <w:noWrap/>
            <w:vAlign w:val="bottom"/>
            <w:hideMark/>
          </w:tcPr>
          <w:p w14:paraId="70B1EF6D"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-2.8895</w:t>
            </w:r>
          </w:p>
        </w:tc>
        <w:tc>
          <w:tcPr>
            <w:tcW w:w="617" w:type="pct"/>
            <w:tcBorders>
              <w:top w:val="single" w:sz="6" w:space="0" w:color="auto"/>
              <w:left w:val="nil"/>
              <w:bottom w:val="single" w:sz="6" w:space="0" w:color="auto"/>
              <w:right w:val="nil"/>
            </w:tcBorders>
            <w:shd w:val="clear" w:color="auto" w:fill="auto"/>
            <w:noWrap/>
            <w:vAlign w:val="bottom"/>
            <w:hideMark/>
          </w:tcPr>
          <w:p w14:paraId="753B10E5"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13.5816</w:t>
            </w:r>
          </w:p>
        </w:tc>
        <w:tc>
          <w:tcPr>
            <w:tcW w:w="526" w:type="pct"/>
            <w:tcBorders>
              <w:top w:val="single" w:sz="6" w:space="0" w:color="auto"/>
              <w:left w:val="nil"/>
              <w:bottom w:val="single" w:sz="6" w:space="0" w:color="auto"/>
              <w:right w:val="nil"/>
            </w:tcBorders>
            <w:shd w:val="clear" w:color="auto" w:fill="auto"/>
            <w:noWrap/>
            <w:vAlign w:val="bottom"/>
            <w:hideMark/>
          </w:tcPr>
          <w:p w14:paraId="76041B65"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9.0571</w:t>
            </w:r>
          </w:p>
        </w:tc>
        <w:tc>
          <w:tcPr>
            <w:tcW w:w="582" w:type="pct"/>
            <w:tcBorders>
              <w:top w:val="single" w:sz="6" w:space="0" w:color="auto"/>
              <w:left w:val="nil"/>
              <w:bottom w:val="single" w:sz="6" w:space="0" w:color="auto"/>
              <w:right w:val="nil"/>
            </w:tcBorders>
            <w:shd w:val="clear" w:color="auto" w:fill="auto"/>
            <w:noWrap/>
            <w:vAlign w:val="bottom"/>
            <w:hideMark/>
          </w:tcPr>
          <w:p w14:paraId="169BFBC9"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0.3081</w:t>
            </w:r>
          </w:p>
        </w:tc>
        <w:tc>
          <w:tcPr>
            <w:tcW w:w="709" w:type="pct"/>
            <w:tcBorders>
              <w:top w:val="single" w:sz="6" w:space="0" w:color="auto"/>
              <w:left w:val="nil"/>
              <w:bottom w:val="single" w:sz="6" w:space="0" w:color="auto"/>
              <w:right w:val="nil"/>
            </w:tcBorders>
            <w:shd w:val="clear" w:color="auto" w:fill="auto"/>
            <w:noWrap/>
            <w:vAlign w:val="bottom"/>
          </w:tcPr>
          <w:p w14:paraId="79171EDD"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1.5637</w:t>
            </w:r>
          </w:p>
        </w:tc>
        <w:tc>
          <w:tcPr>
            <w:tcW w:w="1101" w:type="pct"/>
            <w:tcBorders>
              <w:top w:val="single" w:sz="6" w:space="0" w:color="auto"/>
              <w:left w:val="nil"/>
              <w:bottom w:val="single" w:sz="6" w:space="0" w:color="auto"/>
              <w:right w:val="nil"/>
            </w:tcBorders>
            <w:shd w:val="clear" w:color="auto" w:fill="auto"/>
            <w:noWrap/>
            <w:vAlign w:val="bottom"/>
            <w:hideMark/>
          </w:tcPr>
          <w:p w14:paraId="0708041E"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Banking</w:t>
            </w:r>
          </w:p>
        </w:tc>
      </w:tr>
      <w:tr w:rsidR="00E043A8" w:rsidRPr="00F0130C" w14:paraId="7FB1875C"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69590A4E"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PKOBP</w:t>
            </w:r>
          </w:p>
        </w:tc>
        <w:tc>
          <w:tcPr>
            <w:tcW w:w="582" w:type="pct"/>
            <w:tcBorders>
              <w:top w:val="single" w:sz="6" w:space="0" w:color="auto"/>
              <w:left w:val="nil"/>
              <w:bottom w:val="single" w:sz="6" w:space="0" w:color="auto"/>
              <w:right w:val="nil"/>
            </w:tcBorders>
            <w:shd w:val="clear" w:color="auto" w:fill="auto"/>
            <w:noWrap/>
            <w:vAlign w:val="bottom"/>
            <w:hideMark/>
          </w:tcPr>
          <w:p w14:paraId="17ED3CD0"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-2.9374</w:t>
            </w:r>
          </w:p>
        </w:tc>
        <w:tc>
          <w:tcPr>
            <w:tcW w:w="617" w:type="pct"/>
            <w:tcBorders>
              <w:top w:val="single" w:sz="6" w:space="0" w:color="auto"/>
              <w:left w:val="nil"/>
              <w:bottom w:val="single" w:sz="6" w:space="0" w:color="auto"/>
              <w:right w:val="nil"/>
            </w:tcBorders>
            <w:shd w:val="clear" w:color="auto" w:fill="auto"/>
            <w:noWrap/>
            <w:vAlign w:val="bottom"/>
            <w:hideMark/>
          </w:tcPr>
          <w:p w14:paraId="0342AF50"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13.1776</w:t>
            </w:r>
          </w:p>
        </w:tc>
        <w:tc>
          <w:tcPr>
            <w:tcW w:w="526" w:type="pct"/>
            <w:tcBorders>
              <w:top w:val="single" w:sz="6" w:space="0" w:color="auto"/>
              <w:left w:val="nil"/>
              <w:bottom w:val="single" w:sz="6" w:space="0" w:color="auto"/>
              <w:right w:val="nil"/>
            </w:tcBorders>
            <w:shd w:val="clear" w:color="auto" w:fill="auto"/>
            <w:noWrap/>
            <w:vAlign w:val="bottom"/>
            <w:hideMark/>
          </w:tcPr>
          <w:p w14:paraId="304C48EF"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10.0133</w:t>
            </w:r>
          </w:p>
        </w:tc>
        <w:tc>
          <w:tcPr>
            <w:tcW w:w="582" w:type="pct"/>
            <w:tcBorders>
              <w:top w:val="single" w:sz="6" w:space="0" w:color="auto"/>
              <w:left w:val="nil"/>
              <w:bottom w:val="single" w:sz="6" w:space="0" w:color="auto"/>
              <w:right w:val="nil"/>
            </w:tcBorders>
            <w:shd w:val="clear" w:color="auto" w:fill="auto"/>
            <w:noWrap/>
            <w:vAlign w:val="bottom"/>
            <w:hideMark/>
          </w:tcPr>
          <w:p w14:paraId="7996CD7E"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-0.7255</w:t>
            </w:r>
          </w:p>
        </w:tc>
        <w:tc>
          <w:tcPr>
            <w:tcW w:w="709" w:type="pct"/>
            <w:tcBorders>
              <w:top w:val="single" w:sz="6" w:space="0" w:color="auto"/>
              <w:left w:val="nil"/>
              <w:bottom w:val="single" w:sz="6" w:space="0" w:color="auto"/>
              <w:right w:val="nil"/>
            </w:tcBorders>
            <w:shd w:val="clear" w:color="auto" w:fill="auto"/>
            <w:noWrap/>
            <w:vAlign w:val="bottom"/>
          </w:tcPr>
          <w:p w14:paraId="2956555C"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0.6291</w:t>
            </w:r>
          </w:p>
        </w:tc>
        <w:tc>
          <w:tcPr>
            <w:tcW w:w="1101" w:type="pct"/>
            <w:tcBorders>
              <w:top w:val="single" w:sz="6" w:space="0" w:color="auto"/>
              <w:left w:val="nil"/>
              <w:bottom w:val="single" w:sz="6" w:space="0" w:color="auto"/>
              <w:right w:val="nil"/>
            </w:tcBorders>
            <w:shd w:val="clear" w:color="auto" w:fill="auto"/>
            <w:noWrap/>
            <w:vAlign w:val="bottom"/>
            <w:hideMark/>
          </w:tcPr>
          <w:p w14:paraId="70156430"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Banking</w:t>
            </w:r>
          </w:p>
        </w:tc>
      </w:tr>
      <w:tr w:rsidR="00E043A8" w:rsidRPr="00F0130C" w14:paraId="26477E87"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58A2D36D"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BZWBK</w:t>
            </w:r>
          </w:p>
        </w:tc>
        <w:tc>
          <w:tcPr>
            <w:tcW w:w="582" w:type="pct"/>
            <w:tcBorders>
              <w:top w:val="single" w:sz="6" w:space="0" w:color="auto"/>
              <w:left w:val="nil"/>
              <w:bottom w:val="single" w:sz="6" w:space="0" w:color="auto"/>
              <w:right w:val="nil"/>
            </w:tcBorders>
            <w:shd w:val="clear" w:color="auto" w:fill="auto"/>
            <w:noWrap/>
            <w:vAlign w:val="bottom"/>
            <w:hideMark/>
          </w:tcPr>
          <w:p w14:paraId="7995D1F0"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-3.2269</w:t>
            </w:r>
          </w:p>
        </w:tc>
        <w:tc>
          <w:tcPr>
            <w:tcW w:w="617" w:type="pct"/>
            <w:tcBorders>
              <w:top w:val="single" w:sz="6" w:space="0" w:color="auto"/>
              <w:left w:val="nil"/>
              <w:bottom w:val="single" w:sz="6" w:space="0" w:color="auto"/>
              <w:right w:val="nil"/>
            </w:tcBorders>
            <w:shd w:val="clear" w:color="auto" w:fill="auto"/>
            <w:noWrap/>
            <w:vAlign w:val="bottom"/>
            <w:hideMark/>
          </w:tcPr>
          <w:p w14:paraId="03A3E01F"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12.1785</w:t>
            </w:r>
          </w:p>
        </w:tc>
        <w:tc>
          <w:tcPr>
            <w:tcW w:w="526" w:type="pct"/>
            <w:tcBorders>
              <w:top w:val="single" w:sz="6" w:space="0" w:color="auto"/>
              <w:left w:val="nil"/>
              <w:bottom w:val="single" w:sz="6" w:space="0" w:color="auto"/>
              <w:right w:val="nil"/>
            </w:tcBorders>
            <w:shd w:val="clear" w:color="auto" w:fill="auto"/>
            <w:noWrap/>
            <w:vAlign w:val="bottom"/>
            <w:hideMark/>
          </w:tcPr>
          <w:p w14:paraId="40D9C986"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8.9419</w:t>
            </w:r>
          </w:p>
        </w:tc>
        <w:tc>
          <w:tcPr>
            <w:tcW w:w="582" w:type="pct"/>
            <w:tcBorders>
              <w:top w:val="single" w:sz="6" w:space="0" w:color="auto"/>
              <w:left w:val="nil"/>
              <w:bottom w:val="single" w:sz="6" w:space="0" w:color="auto"/>
              <w:right w:val="nil"/>
            </w:tcBorders>
            <w:shd w:val="clear" w:color="auto" w:fill="auto"/>
            <w:noWrap/>
            <w:vAlign w:val="bottom"/>
            <w:hideMark/>
          </w:tcPr>
          <w:p w14:paraId="7E14DF5C"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-0.1348</w:t>
            </w:r>
          </w:p>
        </w:tc>
        <w:tc>
          <w:tcPr>
            <w:tcW w:w="709" w:type="pct"/>
            <w:tcBorders>
              <w:top w:val="single" w:sz="6" w:space="0" w:color="auto"/>
              <w:left w:val="nil"/>
              <w:bottom w:val="single" w:sz="6" w:space="0" w:color="auto"/>
              <w:right w:val="nil"/>
            </w:tcBorders>
            <w:shd w:val="clear" w:color="auto" w:fill="auto"/>
            <w:noWrap/>
            <w:vAlign w:val="bottom"/>
          </w:tcPr>
          <w:p w14:paraId="01C9C9C8"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0.2305</w:t>
            </w:r>
          </w:p>
        </w:tc>
        <w:tc>
          <w:tcPr>
            <w:tcW w:w="1101" w:type="pct"/>
            <w:tcBorders>
              <w:top w:val="single" w:sz="6" w:space="0" w:color="auto"/>
              <w:left w:val="nil"/>
              <w:bottom w:val="single" w:sz="6" w:space="0" w:color="auto"/>
              <w:right w:val="nil"/>
            </w:tcBorders>
            <w:shd w:val="clear" w:color="auto" w:fill="auto"/>
            <w:noWrap/>
            <w:vAlign w:val="bottom"/>
            <w:hideMark/>
          </w:tcPr>
          <w:p w14:paraId="354EACCA"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Banking</w:t>
            </w:r>
          </w:p>
        </w:tc>
      </w:tr>
      <w:tr w:rsidR="00E043A8" w:rsidRPr="00F0130C" w14:paraId="5DFF1E0A"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1FCDD3EA"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PKNORLEN</w:t>
            </w:r>
          </w:p>
        </w:tc>
        <w:tc>
          <w:tcPr>
            <w:tcW w:w="582" w:type="pct"/>
            <w:tcBorders>
              <w:top w:val="single" w:sz="6" w:space="0" w:color="auto"/>
              <w:left w:val="nil"/>
              <w:bottom w:val="single" w:sz="6" w:space="0" w:color="auto"/>
              <w:right w:val="nil"/>
            </w:tcBorders>
            <w:shd w:val="clear" w:color="auto" w:fill="auto"/>
            <w:noWrap/>
            <w:vAlign w:val="bottom"/>
            <w:hideMark/>
          </w:tcPr>
          <w:p w14:paraId="36478DCD"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-3.0830</w:t>
            </w:r>
          </w:p>
        </w:tc>
        <w:tc>
          <w:tcPr>
            <w:tcW w:w="617" w:type="pct"/>
            <w:tcBorders>
              <w:top w:val="single" w:sz="6" w:space="0" w:color="auto"/>
              <w:left w:val="nil"/>
              <w:bottom w:val="single" w:sz="6" w:space="0" w:color="auto"/>
              <w:right w:val="nil"/>
            </w:tcBorders>
            <w:shd w:val="clear" w:color="auto" w:fill="auto"/>
            <w:noWrap/>
            <w:vAlign w:val="bottom"/>
            <w:hideMark/>
          </w:tcPr>
          <w:p w14:paraId="7217CA7C"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10.2529</w:t>
            </w:r>
          </w:p>
        </w:tc>
        <w:tc>
          <w:tcPr>
            <w:tcW w:w="526" w:type="pct"/>
            <w:tcBorders>
              <w:top w:val="single" w:sz="6" w:space="0" w:color="auto"/>
              <w:left w:val="nil"/>
              <w:bottom w:val="single" w:sz="6" w:space="0" w:color="auto"/>
              <w:right w:val="nil"/>
            </w:tcBorders>
            <w:shd w:val="clear" w:color="auto" w:fill="auto"/>
            <w:noWrap/>
            <w:vAlign w:val="bottom"/>
            <w:hideMark/>
          </w:tcPr>
          <w:p w14:paraId="15BFEF29"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7.4309</w:t>
            </w:r>
          </w:p>
        </w:tc>
        <w:tc>
          <w:tcPr>
            <w:tcW w:w="582" w:type="pct"/>
            <w:tcBorders>
              <w:top w:val="single" w:sz="6" w:space="0" w:color="auto"/>
              <w:left w:val="nil"/>
              <w:bottom w:val="single" w:sz="6" w:space="0" w:color="auto"/>
              <w:right w:val="nil"/>
            </w:tcBorders>
            <w:shd w:val="clear" w:color="auto" w:fill="auto"/>
            <w:noWrap/>
            <w:vAlign w:val="bottom"/>
            <w:hideMark/>
          </w:tcPr>
          <w:p w14:paraId="7F46B1F6"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-0.2476</w:t>
            </w:r>
          </w:p>
        </w:tc>
        <w:tc>
          <w:tcPr>
            <w:tcW w:w="709" w:type="pct"/>
            <w:tcBorders>
              <w:top w:val="single" w:sz="6" w:space="0" w:color="auto"/>
              <w:left w:val="nil"/>
              <w:bottom w:val="single" w:sz="6" w:space="0" w:color="auto"/>
              <w:right w:val="nil"/>
            </w:tcBorders>
            <w:shd w:val="clear" w:color="auto" w:fill="auto"/>
            <w:noWrap/>
            <w:vAlign w:val="bottom"/>
          </w:tcPr>
          <w:p w14:paraId="562621CD"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-0.7388</w:t>
            </w:r>
          </w:p>
        </w:tc>
        <w:tc>
          <w:tcPr>
            <w:tcW w:w="1101" w:type="pct"/>
            <w:tcBorders>
              <w:top w:val="single" w:sz="6" w:space="0" w:color="auto"/>
              <w:left w:val="nil"/>
              <w:bottom w:val="single" w:sz="6" w:space="0" w:color="auto"/>
              <w:right w:val="nil"/>
            </w:tcBorders>
            <w:shd w:val="clear" w:color="auto" w:fill="auto"/>
            <w:noWrap/>
            <w:vAlign w:val="bottom"/>
            <w:hideMark/>
          </w:tcPr>
          <w:p w14:paraId="0FEBA3FF"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Oil &amp; Gas</w:t>
            </w:r>
          </w:p>
        </w:tc>
      </w:tr>
      <w:tr w:rsidR="00E043A8" w:rsidRPr="00F0130C" w14:paraId="6EA341F3"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1F304C83"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KGHM</w:t>
            </w:r>
          </w:p>
        </w:tc>
        <w:tc>
          <w:tcPr>
            <w:tcW w:w="582" w:type="pct"/>
            <w:tcBorders>
              <w:top w:val="single" w:sz="6" w:space="0" w:color="auto"/>
              <w:left w:val="nil"/>
              <w:bottom w:val="single" w:sz="6" w:space="0" w:color="auto"/>
              <w:right w:val="nil"/>
            </w:tcBorders>
            <w:shd w:val="clear" w:color="auto" w:fill="auto"/>
            <w:noWrap/>
            <w:vAlign w:val="bottom"/>
            <w:hideMark/>
          </w:tcPr>
          <w:p w14:paraId="1AF40021"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-1.6744</w:t>
            </w:r>
          </w:p>
        </w:tc>
        <w:tc>
          <w:tcPr>
            <w:tcW w:w="617" w:type="pct"/>
            <w:tcBorders>
              <w:top w:val="single" w:sz="6" w:space="0" w:color="auto"/>
              <w:left w:val="nil"/>
              <w:bottom w:val="single" w:sz="6" w:space="0" w:color="auto"/>
              <w:right w:val="nil"/>
            </w:tcBorders>
            <w:shd w:val="clear" w:color="auto" w:fill="auto"/>
            <w:noWrap/>
            <w:vAlign w:val="bottom"/>
            <w:hideMark/>
          </w:tcPr>
          <w:p w14:paraId="1DB5B0DB"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18.4625</w:t>
            </w:r>
          </w:p>
        </w:tc>
        <w:tc>
          <w:tcPr>
            <w:tcW w:w="526" w:type="pct"/>
            <w:tcBorders>
              <w:top w:val="single" w:sz="6" w:space="0" w:color="auto"/>
              <w:left w:val="nil"/>
              <w:bottom w:val="single" w:sz="6" w:space="0" w:color="auto"/>
              <w:right w:val="nil"/>
            </w:tcBorders>
            <w:shd w:val="clear" w:color="auto" w:fill="auto"/>
            <w:noWrap/>
            <w:vAlign w:val="bottom"/>
            <w:hideMark/>
          </w:tcPr>
          <w:p w14:paraId="5E4E843E"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13.7753</w:t>
            </w:r>
          </w:p>
        </w:tc>
        <w:tc>
          <w:tcPr>
            <w:tcW w:w="582" w:type="pct"/>
            <w:tcBorders>
              <w:top w:val="single" w:sz="6" w:space="0" w:color="auto"/>
              <w:left w:val="nil"/>
              <w:bottom w:val="single" w:sz="6" w:space="0" w:color="auto"/>
              <w:right w:val="nil"/>
            </w:tcBorders>
            <w:shd w:val="clear" w:color="auto" w:fill="auto"/>
            <w:noWrap/>
            <w:vAlign w:val="bottom"/>
            <w:hideMark/>
          </w:tcPr>
          <w:p w14:paraId="053431B1"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-0.6395</w:t>
            </w:r>
          </w:p>
        </w:tc>
        <w:tc>
          <w:tcPr>
            <w:tcW w:w="709" w:type="pct"/>
            <w:tcBorders>
              <w:top w:val="single" w:sz="6" w:space="0" w:color="auto"/>
              <w:left w:val="nil"/>
              <w:bottom w:val="single" w:sz="6" w:space="0" w:color="auto"/>
              <w:right w:val="nil"/>
            </w:tcBorders>
            <w:shd w:val="clear" w:color="auto" w:fill="auto"/>
            <w:noWrap/>
            <w:vAlign w:val="bottom"/>
          </w:tcPr>
          <w:p w14:paraId="3E630DBF"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0.4294</w:t>
            </w:r>
          </w:p>
        </w:tc>
        <w:tc>
          <w:tcPr>
            <w:tcW w:w="1101" w:type="pct"/>
            <w:tcBorders>
              <w:top w:val="single" w:sz="6" w:space="0" w:color="auto"/>
              <w:left w:val="nil"/>
              <w:bottom w:val="single" w:sz="6" w:space="0" w:color="auto"/>
              <w:right w:val="nil"/>
            </w:tcBorders>
            <w:shd w:val="clear" w:color="auto" w:fill="auto"/>
            <w:noWrap/>
            <w:vAlign w:val="bottom"/>
            <w:hideMark/>
          </w:tcPr>
          <w:p w14:paraId="791325EF"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 xml:space="preserve">Basic </w:t>
            </w:r>
            <w:r>
              <w:rPr>
                <w:rFonts w:ascii="Times New Roman" w:eastAsia="Times New Roman" w:hAnsi="Times New Roman" w:cs="Times New Roman"/>
                <w:color w:val="000000"/>
                <w:lang w:val="en-US" w:eastAsia="pl-PL"/>
              </w:rPr>
              <w:t>Materials</w:t>
            </w:r>
          </w:p>
        </w:tc>
      </w:tr>
      <w:tr w:rsidR="00E043A8" w:rsidRPr="00F0130C" w14:paraId="08B36708"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0825F87F"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MBANK</w:t>
            </w:r>
          </w:p>
        </w:tc>
        <w:tc>
          <w:tcPr>
            <w:tcW w:w="582" w:type="pct"/>
            <w:tcBorders>
              <w:top w:val="single" w:sz="6" w:space="0" w:color="auto"/>
              <w:left w:val="nil"/>
              <w:bottom w:val="single" w:sz="6" w:space="0" w:color="auto"/>
              <w:right w:val="nil"/>
            </w:tcBorders>
            <w:shd w:val="clear" w:color="auto" w:fill="auto"/>
            <w:noWrap/>
            <w:vAlign w:val="bottom"/>
            <w:hideMark/>
          </w:tcPr>
          <w:p w14:paraId="33BAE54C"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-3.7872</w:t>
            </w:r>
          </w:p>
        </w:tc>
        <w:tc>
          <w:tcPr>
            <w:tcW w:w="617" w:type="pct"/>
            <w:tcBorders>
              <w:top w:val="single" w:sz="6" w:space="0" w:color="auto"/>
              <w:left w:val="nil"/>
              <w:bottom w:val="single" w:sz="6" w:space="0" w:color="auto"/>
              <w:right w:val="nil"/>
            </w:tcBorders>
            <w:shd w:val="clear" w:color="auto" w:fill="auto"/>
            <w:noWrap/>
            <w:vAlign w:val="bottom"/>
            <w:hideMark/>
          </w:tcPr>
          <w:p w14:paraId="23FB6130"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18.2508</w:t>
            </w:r>
          </w:p>
        </w:tc>
        <w:tc>
          <w:tcPr>
            <w:tcW w:w="526" w:type="pct"/>
            <w:tcBorders>
              <w:top w:val="single" w:sz="6" w:space="0" w:color="auto"/>
              <w:left w:val="nil"/>
              <w:bottom w:val="single" w:sz="6" w:space="0" w:color="auto"/>
              <w:right w:val="nil"/>
            </w:tcBorders>
            <w:shd w:val="clear" w:color="auto" w:fill="auto"/>
            <w:noWrap/>
            <w:vAlign w:val="bottom"/>
            <w:hideMark/>
          </w:tcPr>
          <w:p w14:paraId="7DCC3A56"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13.7462</w:t>
            </w:r>
          </w:p>
        </w:tc>
        <w:tc>
          <w:tcPr>
            <w:tcW w:w="582" w:type="pct"/>
            <w:tcBorders>
              <w:top w:val="single" w:sz="6" w:space="0" w:color="auto"/>
              <w:left w:val="nil"/>
              <w:bottom w:val="single" w:sz="6" w:space="0" w:color="auto"/>
              <w:right w:val="nil"/>
            </w:tcBorders>
            <w:shd w:val="clear" w:color="auto" w:fill="auto"/>
            <w:noWrap/>
            <w:vAlign w:val="bottom"/>
            <w:hideMark/>
          </w:tcPr>
          <w:p w14:paraId="1EE6F586"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-0.5841</w:t>
            </w:r>
          </w:p>
        </w:tc>
        <w:tc>
          <w:tcPr>
            <w:tcW w:w="709" w:type="pct"/>
            <w:tcBorders>
              <w:top w:val="single" w:sz="6" w:space="0" w:color="auto"/>
              <w:left w:val="nil"/>
              <w:bottom w:val="single" w:sz="6" w:space="0" w:color="auto"/>
              <w:right w:val="nil"/>
            </w:tcBorders>
            <w:shd w:val="clear" w:color="auto" w:fill="auto"/>
            <w:noWrap/>
            <w:vAlign w:val="bottom"/>
          </w:tcPr>
          <w:p w14:paraId="1D65C7F6"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0.6679</w:t>
            </w:r>
          </w:p>
        </w:tc>
        <w:tc>
          <w:tcPr>
            <w:tcW w:w="1101" w:type="pct"/>
            <w:tcBorders>
              <w:top w:val="single" w:sz="6" w:space="0" w:color="auto"/>
              <w:left w:val="nil"/>
              <w:bottom w:val="single" w:sz="6" w:space="0" w:color="auto"/>
              <w:right w:val="nil"/>
            </w:tcBorders>
            <w:shd w:val="clear" w:color="auto" w:fill="auto"/>
            <w:noWrap/>
            <w:vAlign w:val="bottom"/>
            <w:hideMark/>
          </w:tcPr>
          <w:p w14:paraId="64B4D745"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Banking</w:t>
            </w:r>
          </w:p>
        </w:tc>
      </w:tr>
      <w:tr w:rsidR="00E043A8" w:rsidRPr="00F0130C" w14:paraId="1DE11405"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65846623"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LPP</w:t>
            </w:r>
          </w:p>
        </w:tc>
        <w:tc>
          <w:tcPr>
            <w:tcW w:w="582" w:type="pct"/>
            <w:tcBorders>
              <w:top w:val="single" w:sz="6" w:space="0" w:color="auto"/>
              <w:left w:val="nil"/>
              <w:bottom w:val="single" w:sz="6" w:space="0" w:color="auto"/>
              <w:right w:val="nil"/>
            </w:tcBorders>
            <w:shd w:val="clear" w:color="auto" w:fill="auto"/>
            <w:noWrap/>
            <w:vAlign w:val="bottom"/>
            <w:hideMark/>
          </w:tcPr>
          <w:p w14:paraId="234F2A74"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-0.9587</w:t>
            </w:r>
          </w:p>
        </w:tc>
        <w:tc>
          <w:tcPr>
            <w:tcW w:w="617" w:type="pct"/>
            <w:tcBorders>
              <w:top w:val="single" w:sz="6" w:space="0" w:color="auto"/>
              <w:left w:val="nil"/>
              <w:bottom w:val="single" w:sz="6" w:space="0" w:color="auto"/>
              <w:right w:val="nil"/>
            </w:tcBorders>
            <w:shd w:val="clear" w:color="auto" w:fill="auto"/>
            <w:noWrap/>
            <w:vAlign w:val="bottom"/>
            <w:hideMark/>
          </w:tcPr>
          <w:p w14:paraId="2F1C6089"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13.5824</w:t>
            </w:r>
          </w:p>
        </w:tc>
        <w:tc>
          <w:tcPr>
            <w:tcW w:w="526" w:type="pct"/>
            <w:tcBorders>
              <w:top w:val="single" w:sz="6" w:space="0" w:color="auto"/>
              <w:left w:val="nil"/>
              <w:bottom w:val="single" w:sz="6" w:space="0" w:color="auto"/>
              <w:right w:val="nil"/>
            </w:tcBorders>
            <w:shd w:val="clear" w:color="auto" w:fill="auto"/>
            <w:noWrap/>
            <w:vAlign w:val="bottom"/>
            <w:hideMark/>
          </w:tcPr>
          <w:p w14:paraId="6EB02AAE"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11.2214</w:t>
            </w:r>
          </w:p>
        </w:tc>
        <w:tc>
          <w:tcPr>
            <w:tcW w:w="582" w:type="pct"/>
            <w:tcBorders>
              <w:top w:val="single" w:sz="6" w:space="0" w:color="auto"/>
              <w:left w:val="nil"/>
              <w:bottom w:val="single" w:sz="6" w:space="0" w:color="auto"/>
              <w:right w:val="nil"/>
            </w:tcBorders>
            <w:shd w:val="clear" w:color="auto" w:fill="auto"/>
            <w:noWrap/>
            <w:vAlign w:val="bottom"/>
            <w:hideMark/>
          </w:tcPr>
          <w:p w14:paraId="776236EA"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-1.6463</w:t>
            </w:r>
          </w:p>
        </w:tc>
        <w:tc>
          <w:tcPr>
            <w:tcW w:w="709" w:type="pct"/>
            <w:tcBorders>
              <w:top w:val="single" w:sz="6" w:space="0" w:color="auto"/>
              <w:left w:val="nil"/>
              <w:bottom w:val="single" w:sz="6" w:space="0" w:color="auto"/>
              <w:right w:val="nil"/>
            </w:tcBorders>
            <w:shd w:val="clear" w:color="auto" w:fill="auto"/>
            <w:noWrap/>
            <w:vAlign w:val="bottom"/>
          </w:tcPr>
          <w:p w14:paraId="0DE1A9D2"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3.4729</w:t>
            </w:r>
          </w:p>
        </w:tc>
        <w:tc>
          <w:tcPr>
            <w:tcW w:w="1101" w:type="pct"/>
            <w:tcBorders>
              <w:top w:val="single" w:sz="6" w:space="0" w:color="auto"/>
              <w:left w:val="nil"/>
              <w:bottom w:val="single" w:sz="6" w:space="0" w:color="auto"/>
              <w:right w:val="nil"/>
            </w:tcBorders>
            <w:shd w:val="clear" w:color="auto" w:fill="auto"/>
            <w:noWrap/>
            <w:vAlign w:val="bottom"/>
            <w:hideMark/>
          </w:tcPr>
          <w:p w14:paraId="253C85AD"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Retail trade</w:t>
            </w:r>
          </w:p>
        </w:tc>
      </w:tr>
      <w:tr w:rsidR="00E043A8" w:rsidRPr="00F0130C" w14:paraId="0DA00564"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5EC9B2F2"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ORANGEPL</w:t>
            </w:r>
          </w:p>
        </w:tc>
        <w:tc>
          <w:tcPr>
            <w:tcW w:w="582" w:type="pct"/>
            <w:tcBorders>
              <w:top w:val="single" w:sz="6" w:space="0" w:color="auto"/>
              <w:left w:val="nil"/>
              <w:bottom w:val="single" w:sz="6" w:space="0" w:color="auto"/>
              <w:right w:val="nil"/>
            </w:tcBorders>
            <w:shd w:val="clear" w:color="auto" w:fill="auto"/>
            <w:noWrap/>
            <w:vAlign w:val="bottom"/>
            <w:hideMark/>
          </w:tcPr>
          <w:p w14:paraId="7AE2D16A"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-1.5148</w:t>
            </w:r>
          </w:p>
        </w:tc>
        <w:tc>
          <w:tcPr>
            <w:tcW w:w="617" w:type="pct"/>
            <w:tcBorders>
              <w:top w:val="single" w:sz="6" w:space="0" w:color="auto"/>
              <w:left w:val="nil"/>
              <w:bottom w:val="single" w:sz="6" w:space="0" w:color="auto"/>
              <w:right w:val="nil"/>
            </w:tcBorders>
            <w:shd w:val="clear" w:color="auto" w:fill="auto"/>
            <w:noWrap/>
            <w:vAlign w:val="bottom"/>
            <w:hideMark/>
          </w:tcPr>
          <w:p w14:paraId="6A88D81A"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5.0221</w:t>
            </w:r>
          </w:p>
        </w:tc>
        <w:tc>
          <w:tcPr>
            <w:tcW w:w="526" w:type="pct"/>
            <w:tcBorders>
              <w:top w:val="single" w:sz="6" w:space="0" w:color="auto"/>
              <w:left w:val="nil"/>
              <w:bottom w:val="single" w:sz="6" w:space="0" w:color="auto"/>
              <w:right w:val="nil"/>
            </w:tcBorders>
            <w:shd w:val="clear" w:color="auto" w:fill="auto"/>
            <w:noWrap/>
            <w:vAlign w:val="bottom"/>
            <w:hideMark/>
          </w:tcPr>
          <w:p w14:paraId="1ED73C62"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3.4185</w:t>
            </w:r>
          </w:p>
        </w:tc>
        <w:tc>
          <w:tcPr>
            <w:tcW w:w="582" w:type="pct"/>
            <w:tcBorders>
              <w:top w:val="single" w:sz="6" w:space="0" w:color="auto"/>
              <w:left w:val="nil"/>
              <w:bottom w:val="single" w:sz="6" w:space="0" w:color="auto"/>
              <w:right w:val="nil"/>
            </w:tcBorders>
            <w:shd w:val="clear" w:color="auto" w:fill="auto"/>
            <w:noWrap/>
            <w:vAlign w:val="bottom"/>
            <w:hideMark/>
          </w:tcPr>
          <w:p w14:paraId="42343466"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0.3235</w:t>
            </w:r>
          </w:p>
        </w:tc>
        <w:tc>
          <w:tcPr>
            <w:tcW w:w="709" w:type="pct"/>
            <w:tcBorders>
              <w:top w:val="single" w:sz="6" w:space="0" w:color="auto"/>
              <w:left w:val="nil"/>
              <w:bottom w:val="single" w:sz="6" w:space="0" w:color="auto"/>
              <w:right w:val="nil"/>
            </w:tcBorders>
            <w:shd w:val="clear" w:color="auto" w:fill="auto"/>
            <w:noWrap/>
            <w:vAlign w:val="bottom"/>
          </w:tcPr>
          <w:p w14:paraId="67CAFAC1"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0.1115</w:t>
            </w:r>
          </w:p>
        </w:tc>
        <w:tc>
          <w:tcPr>
            <w:tcW w:w="1101" w:type="pct"/>
            <w:tcBorders>
              <w:top w:val="single" w:sz="6" w:space="0" w:color="auto"/>
              <w:left w:val="nil"/>
              <w:bottom w:val="single" w:sz="6" w:space="0" w:color="auto"/>
              <w:right w:val="nil"/>
            </w:tcBorders>
            <w:shd w:val="clear" w:color="auto" w:fill="auto"/>
            <w:noWrap/>
            <w:vAlign w:val="bottom"/>
            <w:hideMark/>
          </w:tcPr>
          <w:p w14:paraId="7102A5D0"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Telecommunication</w:t>
            </w:r>
          </w:p>
        </w:tc>
      </w:tr>
      <w:tr w:rsidR="00E043A8" w:rsidRPr="00F0130C" w14:paraId="5C444195"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4EFB854D"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EUROCASH</w:t>
            </w:r>
          </w:p>
        </w:tc>
        <w:tc>
          <w:tcPr>
            <w:tcW w:w="582" w:type="pct"/>
            <w:tcBorders>
              <w:top w:val="single" w:sz="6" w:space="0" w:color="auto"/>
              <w:left w:val="nil"/>
              <w:bottom w:val="single" w:sz="6" w:space="0" w:color="auto"/>
              <w:right w:val="nil"/>
            </w:tcBorders>
            <w:shd w:val="clear" w:color="auto" w:fill="auto"/>
            <w:noWrap/>
            <w:vAlign w:val="bottom"/>
            <w:hideMark/>
          </w:tcPr>
          <w:p w14:paraId="2235A8C0"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0.9963</w:t>
            </w:r>
          </w:p>
        </w:tc>
        <w:tc>
          <w:tcPr>
            <w:tcW w:w="617" w:type="pct"/>
            <w:tcBorders>
              <w:top w:val="single" w:sz="6" w:space="0" w:color="auto"/>
              <w:left w:val="nil"/>
              <w:bottom w:val="single" w:sz="6" w:space="0" w:color="auto"/>
              <w:right w:val="nil"/>
            </w:tcBorders>
            <w:shd w:val="clear" w:color="auto" w:fill="auto"/>
            <w:noWrap/>
            <w:vAlign w:val="bottom"/>
            <w:hideMark/>
          </w:tcPr>
          <w:p w14:paraId="7F97960D"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11.4106</w:t>
            </w:r>
          </w:p>
        </w:tc>
        <w:tc>
          <w:tcPr>
            <w:tcW w:w="526" w:type="pct"/>
            <w:tcBorders>
              <w:top w:val="single" w:sz="6" w:space="0" w:color="auto"/>
              <w:left w:val="nil"/>
              <w:bottom w:val="single" w:sz="6" w:space="0" w:color="auto"/>
              <w:right w:val="nil"/>
            </w:tcBorders>
            <w:shd w:val="clear" w:color="auto" w:fill="auto"/>
            <w:noWrap/>
            <w:vAlign w:val="bottom"/>
            <w:hideMark/>
          </w:tcPr>
          <w:p w14:paraId="75647BC9"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8.2132</w:t>
            </w:r>
          </w:p>
        </w:tc>
        <w:tc>
          <w:tcPr>
            <w:tcW w:w="582" w:type="pct"/>
            <w:tcBorders>
              <w:top w:val="single" w:sz="6" w:space="0" w:color="auto"/>
              <w:left w:val="nil"/>
              <w:bottom w:val="single" w:sz="6" w:space="0" w:color="auto"/>
              <w:right w:val="nil"/>
            </w:tcBorders>
            <w:shd w:val="clear" w:color="auto" w:fill="auto"/>
            <w:noWrap/>
            <w:vAlign w:val="bottom"/>
            <w:hideMark/>
          </w:tcPr>
          <w:p w14:paraId="2AEDD305"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-0.2439</w:t>
            </w:r>
          </w:p>
        </w:tc>
        <w:tc>
          <w:tcPr>
            <w:tcW w:w="709" w:type="pct"/>
            <w:tcBorders>
              <w:top w:val="single" w:sz="6" w:space="0" w:color="auto"/>
              <w:left w:val="nil"/>
              <w:bottom w:val="single" w:sz="6" w:space="0" w:color="auto"/>
              <w:right w:val="nil"/>
            </w:tcBorders>
            <w:shd w:val="clear" w:color="auto" w:fill="auto"/>
            <w:noWrap/>
            <w:vAlign w:val="bottom"/>
          </w:tcPr>
          <w:p w14:paraId="00C52A2E"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-0.6241</w:t>
            </w:r>
          </w:p>
        </w:tc>
        <w:tc>
          <w:tcPr>
            <w:tcW w:w="1101" w:type="pct"/>
            <w:tcBorders>
              <w:top w:val="single" w:sz="6" w:space="0" w:color="auto"/>
              <w:left w:val="nil"/>
              <w:bottom w:val="single" w:sz="6" w:space="0" w:color="auto"/>
              <w:right w:val="nil"/>
            </w:tcBorders>
            <w:shd w:val="clear" w:color="auto" w:fill="auto"/>
            <w:noWrap/>
            <w:vAlign w:val="bottom"/>
            <w:hideMark/>
          </w:tcPr>
          <w:p w14:paraId="26EFE581"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Retail trade</w:t>
            </w:r>
          </w:p>
        </w:tc>
      </w:tr>
      <w:tr w:rsidR="00E043A8" w:rsidRPr="00F0130C" w14:paraId="79D9C984"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4194CD8E"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SYNTHOS</w:t>
            </w:r>
          </w:p>
        </w:tc>
        <w:tc>
          <w:tcPr>
            <w:tcW w:w="582" w:type="pct"/>
            <w:tcBorders>
              <w:top w:val="single" w:sz="6" w:space="0" w:color="auto"/>
              <w:left w:val="nil"/>
              <w:bottom w:val="single" w:sz="6" w:space="0" w:color="auto"/>
              <w:right w:val="nil"/>
            </w:tcBorders>
            <w:shd w:val="clear" w:color="auto" w:fill="auto"/>
            <w:noWrap/>
            <w:vAlign w:val="bottom"/>
            <w:hideMark/>
          </w:tcPr>
          <w:p w14:paraId="049E8945"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-1.5708</w:t>
            </w:r>
          </w:p>
        </w:tc>
        <w:tc>
          <w:tcPr>
            <w:tcW w:w="617" w:type="pct"/>
            <w:tcBorders>
              <w:top w:val="single" w:sz="6" w:space="0" w:color="auto"/>
              <w:left w:val="nil"/>
              <w:bottom w:val="single" w:sz="6" w:space="0" w:color="auto"/>
              <w:right w:val="nil"/>
            </w:tcBorders>
            <w:shd w:val="clear" w:color="auto" w:fill="auto"/>
            <w:noWrap/>
            <w:vAlign w:val="bottom"/>
            <w:hideMark/>
          </w:tcPr>
          <w:p w14:paraId="5104D6E2"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17.0236</w:t>
            </w:r>
          </w:p>
        </w:tc>
        <w:tc>
          <w:tcPr>
            <w:tcW w:w="526" w:type="pct"/>
            <w:tcBorders>
              <w:top w:val="single" w:sz="6" w:space="0" w:color="auto"/>
              <w:left w:val="nil"/>
              <w:bottom w:val="single" w:sz="6" w:space="0" w:color="auto"/>
              <w:right w:val="nil"/>
            </w:tcBorders>
            <w:shd w:val="clear" w:color="auto" w:fill="auto"/>
            <w:noWrap/>
            <w:vAlign w:val="bottom"/>
            <w:hideMark/>
          </w:tcPr>
          <w:p w14:paraId="41B48C7F"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11.5862</w:t>
            </w:r>
          </w:p>
        </w:tc>
        <w:tc>
          <w:tcPr>
            <w:tcW w:w="582" w:type="pct"/>
            <w:tcBorders>
              <w:top w:val="single" w:sz="6" w:space="0" w:color="auto"/>
              <w:left w:val="nil"/>
              <w:bottom w:val="single" w:sz="6" w:space="0" w:color="auto"/>
              <w:right w:val="nil"/>
            </w:tcBorders>
            <w:shd w:val="clear" w:color="auto" w:fill="auto"/>
            <w:noWrap/>
            <w:vAlign w:val="bottom"/>
            <w:hideMark/>
          </w:tcPr>
          <w:p w14:paraId="467EA94C"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0.1235</w:t>
            </w:r>
          </w:p>
        </w:tc>
        <w:tc>
          <w:tcPr>
            <w:tcW w:w="709" w:type="pct"/>
            <w:tcBorders>
              <w:top w:val="single" w:sz="6" w:space="0" w:color="auto"/>
              <w:left w:val="nil"/>
              <w:bottom w:val="single" w:sz="6" w:space="0" w:color="auto"/>
              <w:right w:val="nil"/>
            </w:tcBorders>
            <w:shd w:val="clear" w:color="auto" w:fill="auto"/>
            <w:noWrap/>
            <w:vAlign w:val="bottom"/>
          </w:tcPr>
          <w:p w14:paraId="04319531"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-0.6489</w:t>
            </w:r>
          </w:p>
        </w:tc>
        <w:tc>
          <w:tcPr>
            <w:tcW w:w="1101" w:type="pct"/>
            <w:tcBorders>
              <w:top w:val="single" w:sz="6" w:space="0" w:color="auto"/>
              <w:left w:val="nil"/>
              <w:bottom w:val="single" w:sz="6" w:space="0" w:color="auto"/>
              <w:right w:val="nil"/>
            </w:tcBorders>
            <w:shd w:val="clear" w:color="auto" w:fill="auto"/>
            <w:noWrap/>
            <w:vAlign w:val="bottom"/>
            <w:hideMark/>
          </w:tcPr>
          <w:p w14:paraId="7D351E56" w14:textId="77777777" w:rsidR="00E043A8" w:rsidRPr="00F0130C" w:rsidRDefault="00E043A8" w:rsidP="00747B41">
            <w:pPr>
              <w:spacing w:after="0" w:line="240" w:lineRule="auto"/>
              <w:contextualSpacing/>
              <w:rPr>
                <w:rFonts w:ascii="Times New Roman" w:eastAsia="Times New Roman" w:hAnsi="Times New Roman" w:cs="Times New Roman"/>
                <w:color w:val="000000"/>
                <w:lang w:val="en-US" w:eastAsia="pl-PL"/>
              </w:rPr>
            </w:pPr>
            <w:r w:rsidRPr="00D16895">
              <w:rPr>
                <w:rFonts w:ascii="Times New Roman" w:eastAsia="Times New Roman" w:hAnsi="Times New Roman" w:cs="Times New Roman"/>
                <w:color w:val="000000"/>
                <w:lang w:val="en-US" w:eastAsia="pl-PL"/>
              </w:rPr>
              <w:t>Chemicals</w:t>
            </w:r>
          </w:p>
        </w:tc>
      </w:tr>
      <w:tr w:rsidR="00E043A8" w:rsidRPr="00F0130C" w14:paraId="3C0E4B13" w14:textId="77777777" w:rsidTr="00E043A8">
        <w:trPr>
          <w:trHeight w:val="322"/>
        </w:trPr>
        <w:tc>
          <w:tcPr>
            <w:tcW w:w="884" w:type="pct"/>
            <w:tcBorders>
              <w:top w:val="single" w:sz="6" w:space="0" w:color="auto"/>
              <w:left w:val="nil"/>
              <w:bottom w:val="single" w:sz="6" w:space="0" w:color="auto"/>
              <w:right w:val="nil"/>
            </w:tcBorders>
            <w:shd w:val="clear" w:color="auto" w:fill="auto"/>
            <w:noWrap/>
            <w:vAlign w:val="center"/>
            <w:hideMark/>
          </w:tcPr>
          <w:p w14:paraId="3314CBF5" w14:textId="77777777" w:rsidR="00E043A8" w:rsidRPr="00F0130C" w:rsidRDefault="00E043A8" w:rsidP="00747B41">
            <w:pPr>
              <w:spacing w:after="0" w:line="240" w:lineRule="auto"/>
              <w:contextualSpacing/>
              <w:rPr>
                <w:rFonts w:ascii="Times New Roman" w:eastAsia="Times New Roman" w:hAnsi="Times New Roman" w:cs="Times New Roman"/>
                <w:i/>
                <w:color w:val="000000"/>
                <w:lang w:val="en-US" w:eastAsia="pl-PL"/>
              </w:rPr>
            </w:pPr>
            <w:r w:rsidRPr="00F0130C">
              <w:rPr>
                <w:rFonts w:ascii="Times New Roman" w:eastAsia="Times New Roman" w:hAnsi="Times New Roman" w:cs="Times New Roman"/>
                <w:i/>
                <w:color w:val="000000"/>
                <w:lang w:val="en-US" w:eastAsia="pl-PL"/>
              </w:rPr>
              <w:t>ASSECOPOL</w:t>
            </w:r>
          </w:p>
        </w:tc>
        <w:tc>
          <w:tcPr>
            <w:tcW w:w="582" w:type="pct"/>
            <w:tcBorders>
              <w:top w:val="single" w:sz="6" w:space="0" w:color="auto"/>
              <w:left w:val="nil"/>
              <w:bottom w:val="single" w:sz="6" w:space="0" w:color="auto"/>
              <w:right w:val="nil"/>
            </w:tcBorders>
            <w:shd w:val="clear" w:color="auto" w:fill="auto"/>
            <w:noWrap/>
            <w:vAlign w:val="bottom"/>
            <w:hideMark/>
          </w:tcPr>
          <w:p w14:paraId="3FE14B59"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-1.2328</w:t>
            </w:r>
          </w:p>
        </w:tc>
        <w:tc>
          <w:tcPr>
            <w:tcW w:w="617" w:type="pct"/>
            <w:tcBorders>
              <w:top w:val="single" w:sz="6" w:space="0" w:color="auto"/>
              <w:left w:val="nil"/>
              <w:bottom w:val="single" w:sz="6" w:space="0" w:color="auto"/>
              <w:right w:val="nil"/>
            </w:tcBorders>
            <w:shd w:val="clear" w:color="auto" w:fill="auto"/>
            <w:noWrap/>
            <w:vAlign w:val="bottom"/>
            <w:hideMark/>
          </w:tcPr>
          <w:p w14:paraId="41146AE7"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9.1306</w:t>
            </w:r>
          </w:p>
        </w:tc>
        <w:tc>
          <w:tcPr>
            <w:tcW w:w="526" w:type="pct"/>
            <w:tcBorders>
              <w:top w:val="single" w:sz="6" w:space="0" w:color="auto"/>
              <w:left w:val="nil"/>
              <w:bottom w:val="single" w:sz="6" w:space="0" w:color="auto"/>
              <w:right w:val="nil"/>
            </w:tcBorders>
            <w:shd w:val="clear" w:color="auto" w:fill="auto"/>
            <w:noWrap/>
            <w:vAlign w:val="bottom"/>
            <w:hideMark/>
          </w:tcPr>
          <w:p w14:paraId="4755E407"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6.2433</w:t>
            </w:r>
          </w:p>
        </w:tc>
        <w:tc>
          <w:tcPr>
            <w:tcW w:w="582" w:type="pct"/>
            <w:tcBorders>
              <w:top w:val="single" w:sz="6" w:space="0" w:color="auto"/>
              <w:left w:val="nil"/>
              <w:bottom w:val="single" w:sz="6" w:space="0" w:color="auto"/>
              <w:right w:val="nil"/>
            </w:tcBorders>
            <w:shd w:val="clear" w:color="auto" w:fill="auto"/>
            <w:noWrap/>
            <w:vAlign w:val="bottom"/>
            <w:hideMark/>
          </w:tcPr>
          <w:p w14:paraId="4519BEA7"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-0.0457</w:t>
            </w:r>
          </w:p>
        </w:tc>
        <w:tc>
          <w:tcPr>
            <w:tcW w:w="709" w:type="pct"/>
            <w:tcBorders>
              <w:top w:val="single" w:sz="6" w:space="0" w:color="auto"/>
              <w:left w:val="nil"/>
              <w:bottom w:val="single" w:sz="6" w:space="0" w:color="auto"/>
              <w:right w:val="nil"/>
            </w:tcBorders>
            <w:shd w:val="clear" w:color="auto" w:fill="auto"/>
            <w:noWrap/>
            <w:vAlign w:val="bottom"/>
          </w:tcPr>
          <w:p w14:paraId="07B3EBE8" w14:textId="77777777" w:rsidR="00E043A8" w:rsidRPr="00F0130C" w:rsidRDefault="00E043A8" w:rsidP="00747B41">
            <w:pPr>
              <w:spacing w:after="0" w:line="240" w:lineRule="auto"/>
              <w:contextualSpacing/>
              <w:jc w:val="center"/>
              <w:rPr>
                <w:rFonts w:ascii="Times New Roman" w:eastAsia="Times New Roman" w:hAnsi="Times New Roman" w:cs="Times New Roman"/>
                <w:color w:val="000000"/>
                <w:lang w:val="en-US" w:eastAsia="pl-PL"/>
              </w:rPr>
            </w:pPr>
            <w:r w:rsidRPr="00F0130C">
              <w:rPr>
                <w:rFonts w:ascii="Times New Roman" w:eastAsia="Times New Roman" w:hAnsi="Times New Roman" w:cs="Times New Roman"/>
                <w:color w:val="000000"/>
                <w:lang w:val="en-US" w:eastAsia="pl-PL"/>
              </w:rPr>
              <w:t>2.1394</w:t>
            </w:r>
          </w:p>
        </w:tc>
        <w:tc>
          <w:tcPr>
            <w:tcW w:w="1101" w:type="pct"/>
            <w:tcBorders>
              <w:top w:val="single" w:sz="6" w:space="0" w:color="auto"/>
              <w:left w:val="nil"/>
              <w:bottom w:val="single" w:sz="6" w:space="0" w:color="auto"/>
              <w:right w:val="nil"/>
            </w:tcBorders>
            <w:shd w:val="clear" w:color="auto" w:fill="auto"/>
            <w:noWrap/>
            <w:vAlign w:val="bottom"/>
            <w:hideMark/>
          </w:tcPr>
          <w:p w14:paraId="1C6DD197" w14:textId="77777777" w:rsidR="00E043A8" w:rsidRPr="00F0130C" w:rsidRDefault="00E043A8" w:rsidP="00747B41">
            <w:pPr>
              <w:keepNext/>
              <w:spacing w:after="0" w:line="240" w:lineRule="auto"/>
              <w:contextualSpacing/>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IT</w:t>
            </w:r>
          </w:p>
        </w:tc>
      </w:tr>
    </w:tbl>
    <w:p w14:paraId="127B6E36" w14:textId="243FD4CD" w:rsidR="00F0130C" w:rsidRPr="00B30FE4" w:rsidRDefault="00F0130C" w:rsidP="00747B41">
      <w:pPr>
        <w:pStyle w:val="Legenda"/>
        <w:contextualSpacing/>
        <w:rPr>
          <w:rFonts w:ascii="Times New Roman" w:hAnsi="Times New Roman" w:cs="Times New Roman"/>
          <w:b w:val="0"/>
          <w:color w:val="auto"/>
          <w:sz w:val="20"/>
          <w:lang w:val="en-US"/>
        </w:rPr>
      </w:pPr>
      <w:r w:rsidRPr="00B30FE4">
        <w:rPr>
          <w:rFonts w:ascii="Times New Roman" w:hAnsi="Times New Roman" w:cs="Times New Roman"/>
          <w:b w:val="0"/>
          <w:color w:val="auto"/>
          <w:sz w:val="20"/>
          <w:lang w:val="en-US"/>
        </w:rPr>
        <w:t>Source: own calculations.</w:t>
      </w:r>
    </w:p>
    <w:p w14:paraId="45BBF596" w14:textId="29EFE613" w:rsidR="00691806" w:rsidRDefault="00DD3151" w:rsidP="00747B41">
      <w:pPr>
        <w:ind w:firstLine="42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Tables 2 and </w:t>
      </w:r>
      <w:r w:rsidR="00580263" w:rsidRPr="00B30FE4">
        <w:rPr>
          <w:rFonts w:ascii="Times New Roman" w:hAnsi="Times New Roman" w:cs="Times New Roman"/>
          <w:sz w:val="24"/>
          <w:szCs w:val="24"/>
          <w:lang w:val="en-US"/>
        </w:rPr>
        <w:t>3 show that the absolute values of the arithmetic average for the companies are higher for a bull market (more positive) as well as for a bear market period (more negative) than for the entire market, which is a normal phenomenon</w:t>
      </w:r>
      <w:r w:rsidR="00C77379">
        <w:rPr>
          <w:rFonts w:ascii="Times New Roman" w:hAnsi="Times New Roman" w:cs="Times New Roman"/>
          <w:sz w:val="24"/>
          <w:szCs w:val="24"/>
          <w:lang w:val="en-US"/>
        </w:rPr>
        <w:t>. R</w:t>
      </w:r>
      <w:r w:rsidR="00580263" w:rsidRPr="00B30FE4">
        <w:rPr>
          <w:rFonts w:ascii="Times New Roman" w:hAnsi="Times New Roman" w:cs="Times New Roman"/>
          <w:sz w:val="24"/>
          <w:szCs w:val="24"/>
          <w:lang w:val="en-US"/>
        </w:rPr>
        <w:t>eceived measurements of dispersion (</w:t>
      </w:r>
      <w:r w:rsidR="004B4358">
        <w:rPr>
          <w:rFonts w:ascii="Times New Roman" w:hAnsi="Times New Roman" w:cs="Times New Roman"/>
          <w:sz w:val="24"/>
          <w:szCs w:val="24"/>
          <w:lang w:val="en-US"/>
        </w:rPr>
        <w:t xml:space="preserve">standard </w:t>
      </w:r>
      <w:r w:rsidR="00580263" w:rsidRPr="00B30FE4">
        <w:rPr>
          <w:rFonts w:ascii="Times New Roman" w:hAnsi="Times New Roman" w:cs="Times New Roman"/>
          <w:sz w:val="24"/>
          <w:szCs w:val="24"/>
          <w:lang w:val="en-US"/>
        </w:rPr>
        <w:t xml:space="preserve">deviation and semi - standard deviation) during a bull market are lower (sometimes significantly) with respect to the measurements obtained for the entire market. In contrast, these measurements for a bear market period are much higher than for the entire market. Distributions of the rates of return during a bull market are characterized by a generally positive asymmetry, while during the bear market, almost all companies (except three) have a distribution of the rate of return with a slight negative asymmetry. Kurtosis values of the vast </w:t>
      </w:r>
      <w:r w:rsidR="00580263" w:rsidRPr="00B30FE4">
        <w:rPr>
          <w:rFonts w:ascii="Times New Roman" w:hAnsi="Times New Roman" w:cs="Times New Roman"/>
          <w:sz w:val="24"/>
          <w:szCs w:val="24"/>
          <w:lang w:val="en-US"/>
        </w:rPr>
        <w:lastRenderedPageBreak/>
        <w:t>majority of companies in both distinguished markets are positive, which means that the distributions of the rates of return are more concentrated around the average (leptokurtic). When kurtosis assumes a negative value (several companies) then its value is not less than -0.74. For the entire market the values of kurtosis for all companies (except one) were positive.</w:t>
      </w:r>
    </w:p>
    <w:p w14:paraId="622A1277" w14:textId="535AEEE5" w:rsidR="001D3310" w:rsidRPr="00747B41" w:rsidRDefault="001D3310" w:rsidP="00747B41">
      <w:pPr>
        <w:ind w:firstLine="426"/>
        <w:contextualSpacing/>
        <w:jc w:val="both"/>
        <w:rPr>
          <w:rFonts w:ascii="Times New Roman" w:eastAsia="Times New Roman" w:hAnsi="Times New Roman" w:cs="Times New Roman"/>
          <w:color w:val="000000"/>
          <w:sz w:val="24"/>
          <w:szCs w:val="24"/>
          <w:lang w:val="en-US" w:eastAsia="pl-PL"/>
        </w:rPr>
      </w:pPr>
      <w:r w:rsidRPr="00747B41">
        <w:rPr>
          <w:rFonts w:ascii="Times New Roman" w:eastAsia="Times New Roman" w:hAnsi="Times New Roman" w:cs="Times New Roman"/>
          <w:color w:val="000000"/>
          <w:sz w:val="24"/>
          <w:szCs w:val="24"/>
          <w:lang w:val="en-US" w:eastAsia="pl-PL"/>
        </w:rPr>
        <w:t>While for the entire market values of the arithmetic average from the range [0; 1] had from 41% (</w:t>
      </w:r>
      <w:proofErr w:type="spellStart"/>
      <w:r w:rsidRPr="00747B41">
        <w:rPr>
          <w:rFonts w:ascii="Times New Roman" w:eastAsia="Times New Roman" w:hAnsi="Times New Roman" w:cs="Times New Roman"/>
          <w:color w:val="000000"/>
          <w:sz w:val="24"/>
          <w:szCs w:val="24"/>
          <w:lang w:val="en-US" w:eastAsia="pl-PL"/>
        </w:rPr>
        <w:t>WIGPlus</w:t>
      </w:r>
      <w:proofErr w:type="spellEnd"/>
      <w:r w:rsidRPr="00747B41">
        <w:rPr>
          <w:rFonts w:ascii="Times New Roman" w:eastAsia="Times New Roman" w:hAnsi="Times New Roman" w:cs="Times New Roman"/>
          <w:color w:val="000000"/>
          <w:sz w:val="24"/>
          <w:szCs w:val="24"/>
          <w:lang w:val="en-US" w:eastAsia="pl-PL"/>
        </w:rPr>
        <w:t xml:space="preserve"> indexes) to 5</w:t>
      </w:r>
      <w:r w:rsidR="00487FC6">
        <w:rPr>
          <w:rFonts w:ascii="Times New Roman" w:eastAsia="Times New Roman" w:hAnsi="Times New Roman" w:cs="Times New Roman"/>
          <w:color w:val="000000"/>
          <w:sz w:val="24"/>
          <w:szCs w:val="24"/>
          <w:lang w:val="en-US" w:eastAsia="pl-PL"/>
        </w:rPr>
        <w:t xml:space="preserve">3% companies (sWIG80) currently </w:t>
      </w:r>
      <w:r w:rsidRPr="00747B41">
        <w:rPr>
          <w:rFonts w:ascii="Times New Roman" w:eastAsia="Times New Roman" w:hAnsi="Times New Roman" w:cs="Times New Roman"/>
          <w:color w:val="000000"/>
          <w:sz w:val="24"/>
          <w:szCs w:val="24"/>
          <w:lang w:val="en-US" w:eastAsia="pl-PL"/>
        </w:rPr>
        <w:t>there have been significant shifts, i.e. for a bull market from 67% (</w:t>
      </w:r>
      <w:proofErr w:type="spellStart"/>
      <w:r w:rsidRPr="00747B41">
        <w:rPr>
          <w:rFonts w:ascii="Times New Roman" w:eastAsia="Times New Roman" w:hAnsi="Times New Roman" w:cs="Times New Roman"/>
          <w:color w:val="000000"/>
          <w:sz w:val="24"/>
          <w:szCs w:val="24"/>
          <w:lang w:val="en-US" w:eastAsia="pl-PL"/>
        </w:rPr>
        <w:t>WIGPlus</w:t>
      </w:r>
      <w:proofErr w:type="spellEnd"/>
      <w:r w:rsidRPr="00747B41">
        <w:rPr>
          <w:rFonts w:ascii="Times New Roman" w:eastAsia="Times New Roman" w:hAnsi="Times New Roman" w:cs="Times New Roman"/>
          <w:color w:val="000000"/>
          <w:sz w:val="24"/>
          <w:szCs w:val="24"/>
          <w:lang w:val="en-US" w:eastAsia="pl-PL"/>
        </w:rPr>
        <w:t>) to 88% (mWIG40) companies have an average value greater than 1 and for a bear market from 84% (mWIG40) to 98% (</w:t>
      </w:r>
      <w:proofErr w:type="spellStart"/>
      <w:r w:rsidRPr="00747B41">
        <w:rPr>
          <w:rFonts w:ascii="Times New Roman" w:eastAsia="Times New Roman" w:hAnsi="Times New Roman" w:cs="Times New Roman"/>
          <w:color w:val="000000"/>
          <w:sz w:val="24"/>
          <w:szCs w:val="24"/>
          <w:lang w:val="en-US" w:eastAsia="pl-PL"/>
        </w:rPr>
        <w:t>WIGPlus</w:t>
      </w:r>
      <w:proofErr w:type="spellEnd"/>
      <w:r w:rsidRPr="00747B41">
        <w:rPr>
          <w:rFonts w:ascii="Times New Roman" w:eastAsia="Times New Roman" w:hAnsi="Times New Roman" w:cs="Times New Roman"/>
          <w:color w:val="000000"/>
          <w:sz w:val="24"/>
          <w:szCs w:val="24"/>
          <w:lang w:val="en-US" w:eastAsia="pl-PL"/>
        </w:rPr>
        <w:t xml:space="preserve">) has an average value of less than zero. Similar shifts can be observed in terms of dispersion measures, i.e. in a bull market is bigger percentage of companies (except the </w:t>
      </w:r>
      <w:proofErr w:type="spellStart"/>
      <w:r w:rsidRPr="00747B41">
        <w:rPr>
          <w:rFonts w:ascii="Times New Roman" w:eastAsia="Times New Roman" w:hAnsi="Times New Roman" w:cs="Times New Roman"/>
          <w:color w:val="000000"/>
          <w:sz w:val="24"/>
          <w:szCs w:val="24"/>
          <w:lang w:val="en-US" w:eastAsia="pl-PL"/>
        </w:rPr>
        <w:t>WIGPlus</w:t>
      </w:r>
      <w:proofErr w:type="spellEnd"/>
      <w:r w:rsidRPr="00747B41">
        <w:rPr>
          <w:rFonts w:ascii="Times New Roman" w:eastAsia="Times New Roman" w:hAnsi="Times New Roman" w:cs="Times New Roman"/>
          <w:color w:val="000000"/>
          <w:sz w:val="24"/>
          <w:szCs w:val="24"/>
          <w:lang w:val="en-US" w:eastAsia="pl-PL"/>
        </w:rPr>
        <w:t xml:space="preserve"> index) for which the </w:t>
      </w:r>
      <w:r w:rsidRPr="00747B41">
        <w:rPr>
          <w:rFonts w:ascii="Times New Roman" w:hAnsi="Times New Roman" w:cs="Times New Roman"/>
          <w:sz w:val="24"/>
          <w:szCs w:val="24"/>
          <w:lang w:val="en-US"/>
        </w:rPr>
        <w:t>standard</w:t>
      </w:r>
      <w:r w:rsidRPr="00747B41">
        <w:rPr>
          <w:rFonts w:ascii="Times New Roman" w:eastAsia="Times New Roman" w:hAnsi="Times New Roman" w:cs="Times New Roman"/>
          <w:color w:val="000000"/>
          <w:sz w:val="24"/>
          <w:szCs w:val="24"/>
          <w:lang w:val="en-US" w:eastAsia="pl-PL"/>
        </w:rPr>
        <w:t xml:space="preserve"> deviation is in the range of [0; 10) and the bear market a greater percentage of companies for which the deviation is larger (is in the range of (15, + ∞) values of the semi-standard deviation show that definitely there increased the percentage of companies with the deviation from the range of [0; 7) for a bull market and percentage of companies for which the deviation is greater than 10 for a bear market. In turn, the asymmetry index indicates that for larger companies (from the mWIG40 index) the distribution of the rates of return is characterized by a very low skewness, both </w:t>
      </w:r>
      <w:proofErr w:type="gramStart"/>
      <w:r w:rsidRPr="00747B41">
        <w:rPr>
          <w:rFonts w:ascii="Times New Roman" w:eastAsia="Times New Roman" w:hAnsi="Times New Roman" w:cs="Times New Roman"/>
          <w:color w:val="000000"/>
          <w:sz w:val="24"/>
          <w:szCs w:val="24"/>
          <w:lang w:val="en-US" w:eastAsia="pl-PL"/>
        </w:rPr>
        <w:t>for  a</w:t>
      </w:r>
      <w:proofErr w:type="gramEnd"/>
      <w:r w:rsidRPr="00747B41">
        <w:rPr>
          <w:rFonts w:ascii="Times New Roman" w:eastAsia="Times New Roman" w:hAnsi="Times New Roman" w:cs="Times New Roman"/>
          <w:color w:val="000000"/>
          <w:sz w:val="24"/>
          <w:szCs w:val="24"/>
          <w:lang w:val="en-US" w:eastAsia="pl-PL"/>
        </w:rPr>
        <w:t xml:space="preserve"> bull market and a bear market (respectively 72% and 64% of companies have asymmetry from the range of [-0.5, 0.5]. Similar asymmetry characterized distributions of the rates of return for the companies from that index for the entire market. A significant positive asymmetry characterizes distributions of the rates of return of small companies (from the </w:t>
      </w:r>
      <w:proofErr w:type="spellStart"/>
      <w:r w:rsidRPr="00747B41">
        <w:rPr>
          <w:rFonts w:ascii="Times New Roman" w:eastAsia="Times New Roman" w:hAnsi="Times New Roman" w:cs="Times New Roman"/>
          <w:color w:val="000000"/>
          <w:sz w:val="24"/>
          <w:szCs w:val="24"/>
          <w:lang w:val="en-US" w:eastAsia="pl-PL"/>
        </w:rPr>
        <w:t>WIGPlus</w:t>
      </w:r>
      <w:proofErr w:type="spellEnd"/>
      <w:r w:rsidRPr="00747B41">
        <w:rPr>
          <w:rFonts w:ascii="Times New Roman" w:eastAsia="Times New Roman" w:hAnsi="Times New Roman" w:cs="Times New Roman"/>
          <w:color w:val="000000"/>
          <w:sz w:val="24"/>
          <w:szCs w:val="24"/>
          <w:lang w:val="en-US" w:eastAsia="pl-PL"/>
        </w:rPr>
        <w:t xml:space="preserve"> index), because their percentage is 65% in a bull market. As far as the kurtosis over half companies (except the </w:t>
      </w:r>
      <w:proofErr w:type="spellStart"/>
      <w:r w:rsidRPr="00747B41">
        <w:rPr>
          <w:rFonts w:ascii="Times New Roman" w:eastAsia="Times New Roman" w:hAnsi="Times New Roman" w:cs="Times New Roman"/>
          <w:color w:val="000000"/>
          <w:sz w:val="24"/>
          <w:szCs w:val="24"/>
          <w:lang w:val="en-US" w:eastAsia="pl-PL"/>
        </w:rPr>
        <w:t>WIGPlus</w:t>
      </w:r>
      <w:proofErr w:type="spellEnd"/>
      <w:r w:rsidRPr="00747B41">
        <w:rPr>
          <w:rFonts w:ascii="Times New Roman" w:eastAsia="Times New Roman" w:hAnsi="Times New Roman" w:cs="Times New Roman"/>
          <w:color w:val="000000"/>
          <w:sz w:val="24"/>
          <w:szCs w:val="24"/>
          <w:lang w:val="en-US" w:eastAsia="pl-PL"/>
        </w:rPr>
        <w:t xml:space="preserve"> index in a bull market) has a distribution substantially similar to normal (kurtosis ratio is in the range of [-1, 1]). Noteworthy is the 87% from index the </w:t>
      </w:r>
      <w:proofErr w:type="spellStart"/>
      <w:r w:rsidRPr="00747B41">
        <w:rPr>
          <w:rFonts w:ascii="Times New Roman" w:eastAsia="Times New Roman" w:hAnsi="Times New Roman" w:cs="Times New Roman"/>
          <w:color w:val="000000"/>
          <w:sz w:val="24"/>
          <w:szCs w:val="24"/>
          <w:lang w:val="en-US" w:eastAsia="pl-PL"/>
        </w:rPr>
        <w:t>WIGPlus</w:t>
      </w:r>
      <w:proofErr w:type="spellEnd"/>
      <w:r w:rsidRPr="00747B41">
        <w:rPr>
          <w:rFonts w:ascii="Times New Roman" w:eastAsia="Times New Roman" w:hAnsi="Times New Roman" w:cs="Times New Roman"/>
          <w:color w:val="000000"/>
          <w:sz w:val="24"/>
          <w:szCs w:val="24"/>
          <w:lang w:val="en-US" w:eastAsia="pl-PL"/>
        </w:rPr>
        <w:t xml:space="preserve"> companies for which the rates of return have leptokurtic distribution in a bull market (in a bear market with such distribution of the rates of return there is only 41% of companies).</w:t>
      </w:r>
    </w:p>
    <w:p w14:paraId="698209F4" w14:textId="2530D7F4" w:rsidR="00DD3151" w:rsidRPr="001D3310" w:rsidRDefault="00DD3151" w:rsidP="00747B41">
      <w:pPr>
        <w:ind w:firstLine="42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Normality tests were also conducted for indexes </w:t>
      </w:r>
      <w:r w:rsidRPr="00B30FE4">
        <w:rPr>
          <w:rFonts w:ascii="Times New Roman" w:hAnsi="Times New Roman" w:cs="Times New Roman"/>
          <w:sz w:val="24"/>
          <w:szCs w:val="24"/>
          <w:lang w:val="en-US"/>
        </w:rPr>
        <w:t>divided into a bull and bear market</w:t>
      </w:r>
      <w:r>
        <w:rPr>
          <w:rFonts w:ascii="Times New Roman" w:hAnsi="Times New Roman" w:cs="Times New Roman"/>
          <w:sz w:val="24"/>
          <w:szCs w:val="24"/>
          <w:lang w:val="en-US"/>
        </w:rPr>
        <w:t xml:space="preserve">. Results for WIG20 showed </w:t>
      </w:r>
      <w:r w:rsidRPr="00B30FE4">
        <w:rPr>
          <w:rFonts w:ascii="Times New Roman" w:hAnsi="Times New Roman" w:cs="Times New Roman"/>
          <w:sz w:val="24"/>
          <w:szCs w:val="24"/>
          <w:lang w:val="en-US"/>
        </w:rPr>
        <w:t xml:space="preserve">in the vast majority of cases both types of markets </w:t>
      </w:r>
      <w:r>
        <w:rPr>
          <w:rFonts w:ascii="Times New Roman" w:hAnsi="Times New Roman" w:cs="Times New Roman"/>
          <w:sz w:val="24"/>
          <w:szCs w:val="24"/>
          <w:lang w:val="en-US"/>
        </w:rPr>
        <w:t xml:space="preserve">that </w:t>
      </w:r>
      <w:r w:rsidRPr="00B30FE4">
        <w:rPr>
          <w:rFonts w:ascii="Times New Roman" w:hAnsi="Times New Roman" w:cs="Times New Roman"/>
          <w:sz w:val="24"/>
          <w:szCs w:val="24"/>
          <w:lang w:val="en-US"/>
        </w:rPr>
        <w:t>there is no basis to reject the null hypothesis, saying that the rate of return distribution is a normal distribution.</w:t>
      </w:r>
      <w:r>
        <w:rPr>
          <w:rFonts w:ascii="Times New Roman" w:hAnsi="Times New Roman" w:cs="Times New Roman"/>
          <w:sz w:val="24"/>
          <w:szCs w:val="24"/>
          <w:lang w:val="en-US"/>
        </w:rPr>
        <w:t xml:space="preserve"> F</w:t>
      </w:r>
      <w:r w:rsidRPr="00B30FE4">
        <w:rPr>
          <w:rFonts w:ascii="Times New Roman" w:hAnsi="Times New Roman" w:cs="Times New Roman"/>
          <w:sz w:val="24"/>
          <w:szCs w:val="24"/>
          <w:lang w:val="en-US"/>
        </w:rPr>
        <w:t xml:space="preserve">or a bull market fractions rejecting the null hypothesis saying that the distribution of the rates of return from shares of a given company belongs to a normal distribution are relatively high (for the companies from the </w:t>
      </w:r>
      <w:proofErr w:type="spellStart"/>
      <w:r w:rsidRPr="00B30FE4">
        <w:rPr>
          <w:rFonts w:ascii="Times New Roman" w:hAnsi="Times New Roman" w:cs="Times New Roman"/>
          <w:sz w:val="24"/>
          <w:szCs w:val="24"/>
          <w:lang w:val="en-US"/>
        </w:rPr>
        <w:t>WIGPlus</w:t>
      </w:r>
      <w:proofErr w:type="spellEnd"/>
      <w:r w:rsidRPr="00B30FE4">
        <w:rPr>
          <w:rFonts w:ascii="Times New Roman" w:hAnsi="Times New Roman" w:cs="Times New Roman"/>
          <w:sz w:val="24"/>
          <w:szCs w:val="24"/>
          <w:lang w:val="en-US"/>
        </w:rPr>
        <w:t xml:space="preserve"> index it is in fact more than 87% for the level of significance of 0.05). It should be noted that the greater the companies have a market capitalization the smaller the percentage rejecting the null hypothesis (for the sWIG80 it is almost 57% and for the mWIG40 index it is 40%). Whereas for a bear market fractions rejecting the null hypothesis are much lower (for the level of significance of 0.05 they amount to in fact from 20% to 30%).</w:t>
      </w:r>
      <w:r w:rsidR="001D3310">
        <w:rPr>
          <w:rFonts w:ascii="Times New Roman" w:hAnsi="Times New Roman" w:cs="Times New Roman"/>
          <w:sz w:val="24"/>
          <w:szCs w:val="24"/>
          <w:lang w:val="en-US"/>
        </w:rPr>
        <w:t xml:space="preserve"> </w:t>
      </w:r>
      <w:r w:rsidRPr="00B30FE4">
        <w:rPr>
          <w:rFonts w:ascii="Times New Roman" w:hAnsi="Times New Roman" w:cs="Times New Roman"/>
          <w:sz w:val="24"/>
          <w:szCs w:val="24"/>
          <w:lang w:val="en-US"/>
        </w:rPr>
        <w:t>In turn, on the basis of statistics of the stationarity test it is shown that for all companies in the periods of both of the distributions of the rates of return (at the level of significance of 0.05) are stationary (the same attribute was found for the entire market).</w:t>
      </w:r>
      <w:r w:rsidR="001D3310">
        <w:rPr>
          <w:rFonts w:ascii="Times New Roman" w:hAnsi="Times New Roman" w:cs="Times New Roman"/>
          <w:sz w:val="24"/>
          <w:szCs w:val="24"/>
          <w:lang w:val="en-US"/>
        </w:rPr>
        <w:t xml:space="preserve"> </w:t>
      </w:r>
    </w:p>
    <w:p w14:paraId="2FE2A717" w14:textId="556F78A7" w:rsidR="001D3310" w:rsidRPr="00B30FE4" w:rsidRDefault="001D3310" w:rsidP="00747B41">
      <w:pPr>
        <w:ind w:firstLine="426"/>
        <w:contextualSpacing/>
        <w:jc w:val="both"/>
        <w:rPr>
          <w:rFonts w:ascii="Times New Roman" w:hAnsi="Times New Roman" w:cs="Times New Roman"/>
          <w:sz w:val="24"/>
          <w:szCs w:val="24"/>
          <w:lang w:val="en-US"/>
        </w:rPr>
      </w:pPr>
      <w:r>
        <w:rPr>
          <w:rFonts w:ascii="Times New Roman" w:hAnsi="Times New Roman" w:cs="Times New Roman"/>
          <w:bCs/>
          <w:sz w:val="24"/>
          <w:szCs w:val="24"/>
          <w:lang w:val="en-US"/>
        </w:rPr>
        <w:t>R</w:t>
      </w:r>
      <w:r w:rsidR="00E61979" w:rsidRPr="00B30FE4">
        <w:rPr>
          <w:rFonts w:ascii="Times New Roman" w:hAnsi="Times New Roman" w:cs="Times New Roman"/>
          <w:bCs/>
          <w:sz w:val="24"/>
          <w:szCs w:val="24"/>
          <w:lang w:val="en-US"/>
        </w:rPr>
        <w:t>esults of testing the hypotheses about the equality of the rates of return from shares of the companies belonging to the WIG20 index for a bull and bear market</w:t>
      </w:r>
      <w:r>
        <w:rPr>
          <w:rFonts w:ascii="Times New Roman" w:hAnsi="Times New Roman" w:cs="Times New Roman"/>
          <w:bCs/>
          <w:sz w:val="24"/>
          <w:szCs w:val="24"/>
          <w:lang w:val="en-US"/>
        </w:rPr>
        <w:t xml:space="preserve"> indicate</w:t>
      </w:r>
      <w:r w:rsidR="00E61979" w:rsidRPr="00B30FE4">
        <w:rPr>
          <w:rFonts w:ascii="Times New Roman" w:hAnsi="Times New Roman" w:cs="Times New Roman"/>
          <w:bCs/>
          <w:sz w:val="24"/>
          <w:szCs w:val="24"/>
          <w:lang w:val="en-US"/>
        </w:rPr>
        <w:t xml:space="preserve"> that the expected monthly logarithmic rate of return for 6 companies in a bull market and all 12 for a bear market is not significantly different (for α = 0.05) from zero. This rate also does not differ significantly (except for three cases for a bull market) from the expected rate of return from the portfolio of the WIG20 index. Similar results were also obtained for the whole market</w:t>
      </w:r>
      <w:r>
        <w:rPr>
          <w:rFonts w:ascii="Times New Roman" w:hAnsi="Times New Roman" w:cs="Times New Roman"/>
          <w:bCs/>
          <w:sz w:val="24"/>
          <w:szCs w:val="24"/>
          <w:lang w:val="en-US"/>
        </w:rPr>
        <w:t xml:space="preserve">. </w:t>
      </w:r>
      <w:r w:rsidR="00C77379">
        <w:rPr>
          <w:rFonts w:ascii="Times New Roman" w:hAnsi="Times New Roman" w:cs="Times New Roman"/>
          <w:sz w:val="24"/>
          <w:szCs w:val="24"/>
          <w:lang w:val="en-US"/>
        </w:rPr>
        <w:t>S</w:t>
      </w:r>
      <w:r w:rsidRPr="00B30FE4">
        <w:rPr>
          <w:rFonts w:ascii="Times New Roman" w:hAnsi="Times New Roman" w:cs="Times New Roman"/>
          <w:sz w:val="24"/>
          <w:szCs w:val="24"/>
          <w:lang w:val="en-US"/>
        </w:rPr>
        <w:t xml:space="preserve">mallest fractions rejecting of the null hypothesis in a bull market were obtained for companies with </w:t>
      </w:r>
      <w:r>
        <w:rPr>
          <w:rFonts w:ascii="Times New Roman" w:hAnsi="Times New Roman" w:cs="Times New Roman"/>
          <w:sz w:val="24"/>
          <w:szCs w:val="24"/>
          <w:lang w:val="en-US"/>
        </w:rPr>
        <w:t xml:space="preserve">the smallest </w:t>
      </w:r>
      <w:r w:rsidRPr="00B30FE4">
        <w:rPr>
          <w:rFonts w:ascii="Times New Roman" w:hAnsi="Times New Roman" w:cs="Times New Roman"/>
          <w:sz w:val="24"/>
          <w:szCs w:val="24"/>
          <w:lang w:val="en-US"/>
        </w:rPr>
        <w:t xml:space="preserve">market capitalization (companies from the </w:t>
      </w:r>
      <w:proofErr w:type="spellStart"/>
      <w:r w:rsidRPr="00B30FE4">
        <w:rPr>
          <w:rFonts w:ascii="Times New Roman" w:hAnsi="Times New Roman" w:cs="Times New Roman"/>
          <w:sz w:val="24"/>
          <w:szCs w:val="24"/>
          <w:lang w:val="en-US"/>
        </w:rPr>
        <w:t>WIGPlus</w:t>
      </w:r>
      <w:proofErr w:type="spellEnd"/>
      <w:r w:rsidRPr="00B30FE4">
        <w:rPr>
          <w:rFonts w:ascii="Times New Roman" w:hAnsi="Times New Roman" w:cs="Times New Roman"/>
          <w:sz w:val="24"/>
          <w:szCs w:val="24"/>
          <w:lang w:val="en-US"/>
        </w:rPr>
        <w:t xml:space="preserve"> index). On the other </w:t>
      </w:r>
      <w:proofErr w:type="gramStart"/>
      <w:r w:rsidRPr="00B30FE4">
        <w:rPr>
          <w:rFonts w:ascii="Times New Roman" w:hAnsi="Times New Roman" w:cs="Times New Roman"/>
          <w:sz w:val="24"/>
          <w:szCs w:val="24"/>
          <w:lang w:val="en-US"/>
        </w:rPr>
        <w:t>hand</w:t>
      </w:r>
      <w:proofErr w:type="gramEnd"/>
      <w:r w:rsidRPr="00B30FE4">
        <w:rPr>
          <w:rFonts w:ascii="Times New Roman" w:hAnsi="Times New Roman" w:cs="Times New Roman"/>
          <w:sz w:val="24"/>
          <w:szCs w:val="24"/>
          <w:lang w:val="en-US"/>
        </w:rPr>
        <w:t xml:space="preserve"> in a bear market </w:t>
      </w:r>
      <w:r w:rsidRPr="00B30FE4">
        <w:rPr>
          <w:rFonts w:ascii="Times New Roman" w:hAnsi="Times New Roman" w:cs="Times New Roman"/>
          <w:sz w:val="24"/>
          <w:szCs w:val="24"/>
          <w:lang w:val="en-US"/>
        </w:rPr>
        <w:lastRenderedPageBreak/>
        <w:t xml:space="preserve">situation is reversed, because the smallest fractions of rejections the null hypothesis were obtained for the companies belonging to the mWIG40 index, so for companies with the highest market capitalization among the companies constituting the portfolio of the three studied indexes. </w:t>
      </w:r>
      <w:r w:rsidR="00C77379">
        <w:rPr>
          <w:rFonts w:ascii="Times New Roman" w:hAnsi="Times New Roman" w:cs="Times New Roman"/>
          <w:sz w:val="24"/>
          <w:szCs w:val="24"/>
          <w:lang w:val="en-US"/>
        </w:rPr>
        <w:t>W</w:t>
      </w:r>
      <w:r w:rsidRPr="00B30FE4">
        <w:rPr>
          <w:rFonts w:ascii="Times New Roman" w:hAnsi="Times New Roman" w:cs="Times New Roman"/>
          <w:sz w:val="24"/>
          <w:szCs w:val="24"/>
          <w:lang w:val="en-US"/>
        </w:rPr>
        <w:t xml:space="preserve">e can </w:t>
      </w:r>
      <w:r w:rsidR="00C77379">
        <w:rPr>
          <w:rFonts w:ascii="Times New Roman" w:hAnsi="Times New Roman" w:cs="Times New Roman"/>
          <w:sz w:val="24"/>
          <w:szCs w:val="24"/>
          <w:lang w:val="en-US"/>
        </w:rPr>
        <w:t xml:space="preserve">also </w:t>
      </w:r>
      <w:r w:rsidRPr="00B30FE4">
        <w:rPr>
          <w:rFonts w:ascii="Times New Roman" w:hAnsi="Times New Roman" w:cs="Times New Roman"/>
          <w:sz w:val="24"/>
          <w:szCs w:val="24"/>
          <w:lang w:val="en-US"/>
        </w:rPr>
        <w:t xml:space="preserve">see that the vast majority of companies for both a bull and bear market their expected rates of return from stocks differ significantly in statistical terms from the expected rate of return from the index portfolio to which the company belongs. The highest obtained fraction of rejections of the null hypothesis is 12% (with α = 0.05) for the companies from the mWIG40 index for a bear market. Fraction of rejections of the null hypothesis for the companies from the WIG20 index for a bull market was 25% and for a bear market 0%. </w:t>
      </w:r>
      <w:r w:rsidR="00C77379">
        <w:rPr>
          <w:rFonts w:ascii="Times New Roman" w:hAnsi="Times New Roman" w:cs="Times New Roman"/>
          <w:sz w:val="24"/>
          <w:szCs w:val="24"/>
          <w:lang w:val="en-US"/>
        </w:rPr>
        <w:t>I</w:t>
      </w:r>
      <w:r w:rsidRPr="00B30FE4">
        <w:rPr>
          <w:rFonts w:ascii="Times New Roman" w:hAnsi="Times New Roman" w:cs="Times New Roman"/>
          <w:sz w:val="24"/>
          <w:szCs w:val="24"/>
          <w:lang w:val="en-US"/>
        </w:rPr>
        <w:t>t is impossible to draw a clear conclusion that with the increase of the company's market capitalization the fraction of rejections of the null hypothesis about the equality of the expected rate of return from shares of a given company with an expected rate of return from the index portfolio increases or decreases.</w:t>
      </w:r>
    </w:p>
    <w:p w14:paraId="5C4014AD" w14:textId="13613D50" w:rsidR="00234907" w:rsidRDefault="001D3310" w:rsidP="00747B41">
      <w:pPr>
        <w:ind w:firstLine="42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64241A" w:rsidRPr="00B30FE4">
        <w:rPr>
          <w:rFonts w:ascii="Times New Roman" w:hAnsi="Times New Roman" w:cs="Times New Roman"/>
          <w:sz w:val="24"/>
          <w:szCs w:val="24"/>
          <w:lang w:val="en-US"/>
        </w:rPr>
        <w:t>erification of the hypothesis about the equality of the variance of the</w:t>
      </w:r>
      <w:r w:rsidR="00E06E43" w:rsidRPr="00E06E43">
        <w:rPr>
          <w:lang w:val="en-US"/>
        </w:rPr>
        <w:t xml:space="preserve"> </w:t>
      </w:r>
      <w:r w:rsidR="00E06E43" w:rsidRPr="00E06E43">
        <w:rPr>
          <w:rFonts w:ascii="Times New Roman" w:hAnsi="Times New Roman" w:cs="Times New Roman"/>
          <w:sz w:val="24"/>
          <w:szCs w:val="24"/>
          <w:lang w:val="en-US"/>
        </w:rPr>
        <w:t>logarithmic</w:t>
      </w:r>
      <w:r w:rsidR="00C77379">
        <w:rPr>
          <w:rFonts w:ascii="Times New Roman" w:hAnsi="Times New Roman" w:cs="Times New Roman"/>
          <w:sz w:val="24"/>
          <w:szCs w:val="24"/>
          <w:lang w:val="en-US"/>
        </w:rPr>
        <w:t xml:space="preserve"> monthly </w:t>
      </w:r>
      <w:r w:rsidR="0064241A" w:rsidRPr="00B30FE4">
        <w:rPr>
          <w:rFonts w:ascii="Times New Roman" w:hAnsi="Times New Roman" w:cs="Times New Roman"/>
          <w:sz w:val="24"/>
          <w:szCs w:val="24"/>
          <w:lang w:val="en-US"/>
        </w:rPr>
        <w:t>rate of return from shares of a company belonging to the WIG20 index and the variance of the rate of return from WIG20 portfolio divided into a bull and bear market</w:t>
      </w:r>
      <w:r>
        <w:rPr>
          <w:rFonts w:ascii="Times New Roman" w:hAnsi="Times New Roman" w:cs="Times New Roman"/>
          <w:sz w:val="24"/>
          <w:szCs w:val="24"/>
          <w:lang w:val="en-US"/>
        </w:rPr>
        <w:t xml:space="preserve"> was also conducted</w:t>
      </w:r>
      <w:r w:rsidR="0064241A" w:rsidRPr="00B30FE4">
        <w:rPr>
          <w:rFonts w:ascii="Times New Roman" w:hAnsi="Times New Roman" w:cs="Times New Roman"/>
          <w:sz w:val="24"/>
          <w:szCs w:val="24"/>
          <w:lang w:val="en-US"/>
        </w:rPr>
        <w:t>. It indicates that for a bull market these variances (or volatility) are different for all companies (for α = 0.05), while for a bear market the variances are different for 7 out of 12 companies. The results for a bull market are very consistent with t</w:t>
      </w:r>
      <w:r w:rsidR="00C77379">
        <w:rPr>
          <w:rFonts w:ascii="Times New Roman" w:hAnsi="Times New Roman" w:cs="Times New Roman"/>
          <w:sz w:val="24"/>
          <w:szCs w:val="24"/>
          <w:lang w:val="en-US"/>
        </w:rPr>
        <w:t xml:space="preserve">he results for the whole market. Results </w:t>
      </w:r>
      <w:r w:rsidR="0089231D">
        <w:rPr>
          <w:rFonts w:ascii="Times New Roman" w:hAnsi="Times New Roman" w:cs="Times New Roman"/>
          <w:sz w:val="24"/>
          <w:szCs w:val="24"/>
          <w:lang w:val="en-US"/>
        </w:rPr>
        <w:t xml:space="preserve">for other indices </w:t>
      </w:r>
      <w:r w:rsidR="00C77379">
        <w:rPr>
          <w:rFonts w:ascii="Times New Roman" w:hAnsi="Times New Roman" w:cs="Times New Roman"/>
          <w:sz w:val="24"/>
          <w:szCs w:val="24"/>
          <w:lang w:val="en-US"/>
        </w:rPr>
        <w:t>show</w:t>
      </w:r>
      <w:r w:rsidRPr="00B30FE4">
        <w:rPr>
          <w:rFonts w:ascii="Times New Roman" w:hAnsi="Times New Roman" w:cs="Times New Roman"/>
          <w:sz w:val="24"/>
          <w:szCs w:val="24"/>
          <w:lang w:val="en-US"/>
        </w:rPr>
        <w:t xml:space="preserve"> that for a bull market in the vast number of </w:t>
      </w:r>
      <w:proofErr w:type="gramStart"/>
      <w:r w:rsidRPr="00B30FE4">
        <w:rPr>
          <w:rFonts w:ascii="Times New Roman" w:hAnsi="Times New Roman" w:cs="Times New Roman"/>
          <w:sz w:val="24"/>
          <w:szCs w:val="24"/>
          <w:lang w:val="en-US"/>
        </w:rPr>
        <w:t>companies</w:t>
      </w:r>
      <w:proofErr w:type="gramEnd"/>
      <w:r w:rsidRPr="00B30FE4">
        <w:rPr>
          <w:rFonts w:ascii="Times New Roman" w:hAnsi="Times New Roman" w:cs="Times New Roman"/>
          <w:sz w:val="24"/>
          <w:szCs w:val="24"/>
          <w:lang w:val="en-US"/>
        </w:rPr>
        <w:t xml:space="preserve"> volatilities are different (the smallest fraction of rejections of the null hypothesis is 90% - companies from the sWIG80 index). </w:t>
      </w:r>
      <w:r w:rsidR="0089231D">
        <w:rPr>
          <w:rFonts w:ascii="Times New Roman" w:hAnsi="Times New Roman" w:cs="Times New Roman"/>
          <w:sz w:val="24"/>
          <w:szCs w:val="24"/>
          <w:lang w:val="en-US"/>
        </w:rPr>
        <w:t xml:space="preserve">We can see </w:t>
      </w:r>
      <w:r w:rsidRPr="00B30FE4">
        <w:rPr>
          <w:rFonts w:ascii="Times New Roman" w:hAnsi="Times New Roman" w:cs="Times New Roman"/>
          <w:sz w:val="24"/>
          <w:szCs w:val="24"/>
          <w:lang w:val="en-US"/>
        </w:rPr>
        <w:t>that the fraction of rejections of the hypothesis of the equality of variation for the largest companies (from WIG20 and mWIG40) for a bull market is 100% (for α = 0.05). For a bear market fractions of rejections of the null hypothesis are significantly lower than for a bull market, while the lower market capitalization of the company the higher the fraction of rejections of the null hypothesis (for the companies from the mWIG40 index amounts to 52%).</w:t>
      </w:r>
    </w:p>
    <w:p w14:paraId="00F3371A" w14:textId="77777777" w:rsidR="00747B41" w:rsidRPr="00B30FE4" w:rsidRDefault="00747B41" w:rsidP="00747B41">
      <w:pPr>
        <w:ind w:firstLine="426"/>
        <w:contextualSpacing/>
        <w:jc w:val="both"/>
        <w:rPr>
          <w:rFonts w:ascii="Times New Roman" w:hAnsi="Times New Roman" w:cs="Times New Roman"/>
          <w:sz w:val="24"/>
          <w:szCs w:val="24"/>
          <w:lang w:val="en-US"/>
        </w:rPr>
      </w:pPr>
    </w:p>
    <w:p w14:paraId="21660572" w14:textId="055DFE81" w:rsidR="00234907" w:rsidRDefault="00234907" w:rsidP="00747B41">
      <w:pPr>
        <w:contextualSpacing/>
        <w:jc w:val="both"/>
        <w:rPr>
          <w:rFonts w:ascii="Times New Roman" w:hAnsi="Times New Roman" w:cs="Times New Roman"/>
          <w:b/>
          <w:sz w:val="28"/>
          <w:szCs w:val="28"/>
          <w:lang w:val="en-US"/>
        </w:rPr>
      </w:pPr>
      <w:r w:rsidRPr="00B30FE4">
        <w:rPr>
          <w:rFonts w:ascii="Times New Roman" w:hAnsi="Times New Roman" w:cs="Times New Roman"/>
          <w:b/>
          <w:sz w:val="28"/>
          <w:szCs w:val="28"/>
          <w:lang w:val="en-US"/>
        </w:rPr>
        <w:t>5. Summary</w:t>
      </w:r>
    </w:p>
    <w:p w14:paraId="0D958889" w14:textId="77777777" w:rsidR="00747B41" w:rsidRPr="00B30FE4" w:rsidRDefault="00747B41" w:rsidP="00747B41">
      <w:pPr>
        <w:contextualSpacing/>
        <w:jc w:val="both"/>
        <w:rPr>
          <w:rFonts w:ascii="Times New Roman" w:hAnsi="Times New Roman" w:cs="Times New Roman"/>
          <w:sz w:val="28"/>
          <w:szCs w:val="28"/>
          <w:lang w:val="en-US"/>
        </w:rPr>
      </w:pPr>
    </w:p>
    <w:p w14:paraId="01F96113" w14:textId="37A2AECE" w:rsidR="00234907" w:rsidRPr="00B30FE4" w:rsidRDefault="00AA28B5" w:rsidP="00747B41">
      <w:pPr>
        <w:ind w:firstLine="426"/>
        <w:contextualSpacing/>
        <w:jc w:val="both"/>
        <w:rPr>
          <w:rFonts w:ascii="Times New Roman" w:hAnsi="Times New Roman" w:cs="Times New Roman"/>
          <w:sz w:val="24"/>
          <w:szCs w:val="24"/>
          <w:lang w:val="en-US"/>
        </w:rPr>
      </w:pPr>
      <w:r w:rsidRPr="00B30FE4">
        <w:rPr>
          <w:rFonts w:ascii="Times New Roman" w:hAnsi="Times New Roman" w:cs="Times New Roman"/>
          <w:sz w:val="24"/>
          <w:szCs w:val="24"/>
          <w:lang w:val="en-US"/>
        </w:rPr>
        <w:t xml:space="preserve">In conclusion on carried out research it must be admitted that </w:t>
      </w:r>
      <w:r w:rsidR="00C2783A">
        <w:rPr>
          <w:rFonts w:ascii="Times New Roman" w:hAnsi="Times New Roman" w:cs="Times New Roman"/>
          <w:sz w:val="24"/>
          <w:szCs w:val="24"/>
          <w:lang w:val="en-US"/>
        </w:rPr>
        <w:t>i</w:t>
      </w:r>
      <w:r w:rsidRPr="00B30FE4">
        <w:rPr>
          <w:rFonts w:ascii="Times New Roman" w:hAnsi="Times New Roman" w:cs="Times New Roman"/>
          <w:sz w:val="24"/>
          <w:szCs w:val="24"/>
          <w:lang w:val="en-US"/>
        </w:rPr>
        <w:t>t brought quite interesting in terms of cognitive results, although, judging by the results of</w:t>
      </w:r>
      <w:r w:rsidR="00596460">
        <w:rPr>
          <w:rFonts w:ascii="Times New Roman" w:hAnsi="Times New Roman" w:cs="Times New Roman"/>
          <w:sz w:val="24"/>
          <w:szCs w:val="24"/>
          <w:lang w:val="en-US"/>
        </w:rPr>
        <w:t xml:space="preserve"> research of other authors, we </w:t>
      </w:r>
      <w:r w:rsidRPr="00B30FE4">
        <w:rPr>
          <w:rFonts w:ascii="Times New Roman" w:hAnsi="Times New Roman" w:cs="Times New Roman"/>
          <w:sz w:val="24"/>
          <w:szCs w:val="24"/>
          <w:lang w:val="en-US"/>
        </w:rPr>
        <w:t xml:space="preserve">could expect such results. In this sense, the results obtained are </w:t>
      </w:r>
      <w:r w:rsidR="00C2783A">
        <w:rPr>
          <w:rFonts w:ascii="Times New Roman" w:hAnsi="Times New Roman" w:cs="Times New Roman"/>
          <w:sz w:val="24"/>
          <w:szCs w:val="24"/>
          <w:lang w:val="en-US"/>
        </w:rPr>
        <w:t xml:space="preserve">to a large degree </w:t>
      </w:r>
      <w:r w:rsidRPr="00B30FE4">
        <w:rPr>
          <w:rFonts w:ascii="Times New Roman" w:hAnsi="Times New Roman" w:cs="Times New Roman"/>
          <w:sz w:val="24"/>
          <w:szCs w:val="24"/>
          <w:lang w:val="en-US"/>
        </w:rPr>
        <w:t>consistent with the results of other Polish authors however, obtained in slightly different configurations of the time sample or frequency measurement of the rate of return. It should be noted that in our study the sample consisted of 131 companies and 130 monthly observations, making it the largest and longest in previous studies relating to the Polish market. The general conclusion to be drawn from performed research amounts to saying that it is worth to divide market for periods of growth and decline (wh</w:t>
      </w:r>
      <w:r w:rsidR="0089231D">
        <w:rPr>
          <w:rFonts w:ascii="Times New Roman" w:hAnsi="Times New Roman" w:cs="Times New Roman"/>
          <w:sz w:val="24"/>
          <w:szCs w:val="24"/>
          <w:lang w:val="en-US"/>
        </w:rPr>
        <w:t>en you have a sufficiently long sample</w:t>
      </w:r>
      <w:r w:rsidRPr="00B30FE4">
        <w:rPr>
          <w:rFonts w:ascii="Times New Roman" w:hAnsi="Times New Roman" w:cs="Times New Roman"/>
          <w:sz w:val="24"/>
          <w:szCs w:val="24"/>
          <w:lang w:val="en-US"/>
        </w:rPr>
        <w:t xml:space="preserve">) because the distributions of the rates of return have </w:t>
      </w:r>
      <w:proofErr w:type="gramStart"/>
      <w:r w:rsidRPr="00B30FE4">
        <w:rPr>
          <w:rFonts w:ascii="Times New Roman" w:hAnsi="Times New Roman" w:cs="Times New Roman"/>
          <w:sz w:val="24"/>
          <w:szCs w:val="24"/>
          <w:lang w:val="en-US"/>
        </w:rPr>
        <w:t>a slightly different properties</w:t>
      </w:r>
      <w:proofErr w:type="gramEnd"/>
      <w:r w:rsidRPr="00B30FE4">
        <w:rPr>
          <w:rFonts w:ascii="Times New Roman" w:hAnsi="Times New Roman" w:cs="Times New Roman"/>
          <w:sz w:val="24"/>
          <w:szCs w:val="24"/>
          <w:lang w:val="en-US"/>
        </w:rPr>
        <w:t xml:space="preserve"> than for the entire market and values of their descriptive statistics change. We have found that for a relatively large proportion of </w:t>
      </w:r>
      <w:proofErr w:type="gramStart"/>
      <w:r w:rsidRPr="00B30FE4">
        <w:rPr>
          <w:rFonts w:ascii="Times New Roman" w:hAnsi="Times New Roman" w:cs="Times New Roman"/>
          <w:sz w:val="24"/>
          <w:szCs w:val="24"/>
          <w:lang w:val="en-US"/>
        </w:rPr>
        <w:t>companies</w:t>
      </w:r>
      <w:proofErr w:type="gramEnd"/>
      <w:r w:rsidRPr="00B30FE4">
        <w:rPr>
          <w:rFonts w:ascii="Times New Roman" w:hAnsi="Times New Roman" w:cs="Times New Roman"/>
          <w:sz w:val="24"/>
          <w:szCs w:val="24"/>
          <w:lang w:val="en-US"/>
        </w:rPr>
        <w:t xml:space="preserve"> distributions of the rates of return do not have a normal distribution (although they do not have high asymmetries - mainly it is in the range [-1, 1]), and are generally quite concentrated around mean (leptokurtic)</w:t>
      </w:r>
      <w:r w:rsidR="00F844AF">
        <w:rPr>
          <w:rFonts w:ascii="Times New Roman" w:hAnsi="Times New Roman" w:cs="Times New Roman"/>
          <w:sz w:val="24"/>
          <w:szCs w:val="24"/>
          <w:lang w:val="en-US"/>
        </w:rPr>
        <w:t>,</w:t>
      </w:r>
      <w:r w:rsidR="00F844AF" w:rsidRPr="00F844AF">
        <w:rPr>
          <w:lang w:val="en-US"/>
        </w:rPr>
        <w:t xml:space="preserve"> </w:t>
      </w:r>
      <w:r w:rsidR="00F844AF" w:rsidRPr="00F844AF">
        <w:rPr>
          <w:rFonts w:ascii="Times New Roman" w:hAnsi="Times New Roman" w:cs="Times New Roman"/>
          <w:sz w:val="24"/>
          <w:szCs w:val="24"/>
          <w:lang w:val="en-US"/>
        </w:rPr>
        <w:t>wherein it was found that</w:t>
      </w:r>
      <w:r w:rsidRPr="00B30FE4">
        <w:rPr>
          <w:rFonts w:ascii="Times New Roman" w:hAnsi="Times New Roman" w:cs="Times New Roman"/>
          <w:sz w:val="24"/>
          <w:szCs w:val="24"/>
          <w:lang w:val="en-US"/>
        </w:rPr>
        <w:t xml:space="preserve"> for larger companies the fraction of reje</w:t>
      </w:r>
      <w:r w:rsidR="0089231D">
        <w:rPr>
          <w:rFonts w:ascii="Times New Roman" w:hAnsi="Times New Roman" w:cs="Times New Roman"/>
          <w:sz w:val="24"/>
          <w:szCs w:val="24"/>
          <w:lang w:val="en-US"/>
        </w:rPr>
        <w:t>ctions of the null hypothesis of</w:t>
      </w:r>
      <w:r w:rsidRPr="00B30FE4">
        <w:rPr>
          <w:rFonts w:ascii="Times New Roman" w:hAnsi="Times New Roman" w:cs="Times New Roman"/>
          <w:sz w:val="24"/>
          <w:szCs w:val="24"/>
          <w:lang w:val="en-US"/>
        </w:rPr>
        <w:t xml:space="preserve"> normal distribution of the rate of return from shares decreases. In contrast, undoubtedly positive feature is the fulfillment of assumptions about the stationarity of </w:t>
      </w:r>
      <w:r w:rsidRPr="00B30FE4">
        <w:rPr>
          <w:rFonts w:ascii="Times New Roman" w:hAnsi="Times New Roman" w:cs="Times New Roman"/>
          <w:sz w:val="24"/>
          <w:szCs w:val="24"/>
          <w:lang w:val="en-US"/>
        </w:rPr>
        <w:lastRenderedPageBreak/>
        <w:t xml:space="preserve">distribution of the monthly logarithmic rate of return for all companies, which presents a great hope </w:t>
      </w:r>
      <w:r w:rsidR="00596460" w:rsidRPr="00B30FE4">
        <w:rPr>
          <w:rFonts w:ascii="Times New Roman" w:hAnsi="Times New Roman" w:cs="Times New Roman"/>
          <w:sz w:val="24"/>
          <w:szCs w:val="24"/>
          <w:lang w:val="en-US"/>
        </w:rPr>
        <w:t>for positive statistical properties</w:t>
      </w:r>
      <w:r w:rsidRPr="00B30FE4">
        <w:rPr>
          <w:rFonts w:ascii="Times New Roman" w:hAnsi="Times New Roman" w:cs="Times New Roman"/>
          <w:sz w:val="24"/>
          <w:szCs w:val="24"/>
          <w:lang w:val="en-US"/>
        </w:rPr>
        <w:t xml:space="preserve"> of the results of further studies, in particular relating to the beta parameter. On the other </w:t>
      </w:r>
      <w:proofErr w:type="gramStart"/>
      <w:r w:rsidRPr="00B30FE4">
        <w:rPr>
          <w:rFonts w:ascii="Times New Roman" w:hAnsi="Times New Roman" w:cs="Times New Roman"/>
          <w:sz w:val="24"/>
          <w:szCs w:val="24"/>
          <w:lang w:val="en-US"/>
        </w:rPr>
        <w:t>hand</w:t>
      </w:r>
      <w:proofErr w:type="gramEnd"/>
      <w:r w:rsidRPr="00B30FE4">
        <w:rPr>
          <w:rFonts w:ascii="Times New Roman" w:hAnsi="Times New Roman" w:cs="Times New Roman"/>
          <w:sz w:val="24"/>
          <w:szCs w:val="24"/>
          <w:lang w:val="en-US"/>
        </w:rPr>
        <w:t xml:space="preserve"> the test results of verification for the entire market hypothesis of the equality of the rate of return from shares of a given company with zero or the rate of return from the index portfolio to which a company belongs indicate that the percentage of rejection of the null hypothesis increases with the market capitalization of the company. But we cannot just draw such a clear conclusion on the basis of verification of these hypotheses for a bull and bear market. As regards the verification of the hypothesis on the equality of the variance of the rate of return from shares with the variance of the rate of return from the index portfolio, to which the company belongs it is unambiguously stated that these variances indeed in statistical terms are different for the vast number of companies, both for the entire market as well as divided into a bull and bear market.</w:t>
      </w:r>
    </w:p>
    <w:p w14:paraId="12612BF3" w14:textId="3B097C52" w:rsidR="00294702" w:rsidRPr="00B30FE4" w:rsidRDefault="00234907" w:rsidP="00747B41">
      <w:pPr>
        <w:contextualSpacing/>
        <w:rPr>
          <w:lang w:val="en-US"/>
        </w:rPr>
      </w:pPr>
      <w:r w:rsidRPr="00B30FE4">
        <w:rPr>
          <w:lang w:val="en-US"/>
        </w:rPr>
        <w:t xml:space="preserve"> </w:t>
      </w:r>
    </w:p>
    <w:p w14:paraId="34DFB7BC" w14:textId="77777777" w:rsidR="007E62DA" w:rsidRPr="00B30FE4" w:rsidRDefault="007E62DA" w:rsidP="00747B41">
      <w:pPr>
        <w:contextualSpacing/>
        <w:jc w:val="both"/>
        <w:rPr>
          <w:rFonts w:ascii="Times New Roman" w:hAnsi="Times New Roman" w:cs="Times New Roman"/>
          <w:sz w:val="24"/>
          <w:szCs w:val="24"/>
          <w:lang w:val="en-US"/>
        </w:rPr>
      </w:pPr>
      <w:r w:rsidRPr="00B30FE4">
        <w:rPr>
          <w:rFonts w:ascii="Times New Roman" w:hAnsi="Times New Roman" w:cs="Times New Roman"/>
          <w:b/>
          <w:sz w:val="24"/>
          <w:szCs w:val="24"/>
          <w:lang w:val="en-US"/>
        </w:rPr>
        <w:t>Bibliography</w:t>
      </w:r>
    </w:p>
    <w:p w14:paraId="657E0695" w14:textId="77777777" w:rsidR="00747B41" w:rsidRPr="00D35656" w:rsidRDefault="00747B41" w:rsidP="00747B41">
      <w:pPr>
        <w:pStyle w:val="Akapitzlist"/>
        <w:numPr>
          <w:ilvl w:val="0"/>
          <w:numId w:val="2"/>
        </w:numPr>
        <w:ind w:left="284" w:hanging="284"/>
        <w:jc w:val="both"/>
        <w:rPr>
          <w:rFonts w:ascii="Times New Roman" w:hAnsi="Times New Roman" w:cs="Times New Roman"/>
          <w:sz w:val="24"/>
          <w:szCs w:val="24"/>
          <w:lang w:val="en-US"/>
        </w:rPr>
      </w:pPr>
      <w:proofErr w:type="spellStart"/>
      <w:r w:rsidRPr="00D35656">
        <w:rPr>
          <w:rFonts w:ascii="Times New Roman" w:hAnsi="Times New Roman" w:cs="Times New Roman"/>
          <w:sz w:val="24"/>
          <w:szCs w:val="24"/>
          <w:lang w:val="en-US"/>
        </w:rPr>
        <w:t>Bhaduri</w:t>
      </w:r>
      <w:proofErr w:type="spellEnd"/>
      <w:r w:rsidRPr="00D35656">
        <w:rPr>
          <w:rFonts w:ascii="Times New Roman" w:hAnsi="Times New Roman" w:cs="Times New Roman"/>
          <w:sz w:val="24"/>
          <w:szCs w:val="24"/>
          <w:lang w:val="en-US"/>
        </w:rPr>
        <w:t xml:space="preserve"> S., </w:t>
      </w:r>
      <w:proofErr w:type="spellStart"/>
      <w:r w:rsidRPr="00D35656">
        <w:rPr>
          <w:rFonts w:ascii="Times New Roman" w:hAnsi="Times New Roman" w:cs="Times New Roman"/>
          <w:sz w:val="24"/>
          <w:szCs w:val="24"/>
          <w:lang w:val="en-US"/>
        </w:rPr>
        <w:t>Durai</w:t>
      </w:r>
      <w:proofErr w:type="spellEnd"/>
      <w:r w:rsidRPr="00D35656">
        <w:rPr>
          <w:rFonts w:ascii="Times New Roman" w:hAnsi="Times New Roman" w:cs="Times New Roman"/>
          <w:sz w:val="24"/>
          <w:szCs w:val="24"/>
          <w:lang w:val="en-US"/>
        </w:rPr>
        <w:t xml:space="preserve"> S. (2006), Asymmetric beta in bull and bear market conditions: evidence from India, Applied Financial Economics Letters, 2.</w:t>
      </w:r>
    </w:p>
    <w:p w14:paraId="2ECF5D78" w14:textId="77777777" w:rsidR="00747B41" w:rsidRPr="00D35656" w:rsidRDefault="00747B41" w:rsidP="00747B41">
      <w:pPr>
        <w:pStyle w:val="Akapitzlist"/>
        <w:numPr>
          <w:ilvl w:val="0"/>
          <w:numId w:val="2"/>
        </w:numPr>
        <w:ind w:left="284" w:hanging="284"/>
        <w:jc w:val="both"/>
        <w:rPr>
          <w:rFonts w:ascii="Times New Roman" w:hAnsi="Times New Roman" w:cs="Times New Roman"/>
          <w:sz w:val="24"/>
          <w:szCs w:val="24"/>
          <w:lang w:val="en-US"/>
        </w:rPr>
      </w:pPr>
      <w:proofErr w:type="spellStart"/>
      <w:r w:rsidRPr="00D35656">
        <w:rPr>
          <w:rFonts w:ascii="Times New Roman" w:hAnsi="Times New Roman" w:cs="Times New Roman"/>
          <w:sz w:val="24"/>
          <w:szCs w:val="24"/>
          <w:lang w:val="en-US"/>
        </w:rPr>
        <w:t>Corhay</w:t>
      </w:r>
      <w:proofErr w:type="spellEnd"/>
      <w:r w:rsidRPr="00D35656">
        <w:rPr>
          <w:rFonts w:ascii="Times New Roman" w:hAnsi="Times New Roman" w:cs="Times New Roman"/>
          <w:sz w:val="24"/>
          <w:szCs w:val="24"/>
          <w:lang w:val="en-US"/>
        </w:rPr>
        <w:t xml:space="preserve"> A., </w:t>
      </w:r>
      <w:proofErr w:type="spellStart"/>
      <w:r w:rsidRPr="00D35656">
        <w:rPr>
          <w:rFonts w:ascii="Times New Roman" w:hAnsi="Times New Roman" w:cs="Times New Roman"/>
          <w:sz w:val="24"/>
          <w:szCs w:val="24"/>
          <w:lang w:val="en-US"/>
        </w:rPr>
        <w:t>Tourani</w:t>
      </w:r>
      <w:proofErr w:type="spellEnd"/>
      <w:r w:rsidRPr="00D35656">
        <w:rPr>
          <w:rFonts w:ascii="Times New Roman" w:hAnsi="Times New Roman" w:cs="Times New Roman"/>
          <w:sz w:val="24"/>
          <w:szCs w:val="24"/>
          <w:lang w:val="en-US"/>
        </w:rPr>
        <w:t xml:space="preserve"> Rad A. (1994), Statistical Properties of daily returns: Evidence from European stock markets, Journal of business finance and accounting, Vol. 21, Issue. 2, p. 271-282.</w:t>
      </w:r>
    </w:p>
    <w:p w14:paraId="6441882D" w14:textId="77777777" w:rsidR="00747B41" w:rsidRPr="00D35656" w:rsidRDefault="00747B41" w:rsidP="00FD59B3">
      <w:pPr>
        <w:pStyle w:val="Akapitzlist"/>
        <w:numPr>
          <w:ilvl w:val="0"/>
          <w:numId w:val="2"/>
        </w:numPr>
        <w:ind w:left="284" w:hanging="284"/>
        <w:jc w:val="both"/>
        <w:rPr>
          <w:rFonts w:ascii="Times New Roman" w:hAnsi="Times New Roman" w:cs="Times New Roman"/>
          <w:sz w:val="24"/>
          <w:szCs w:val="24"/>
          <w:lang w:val="en-US"/>
        </w:rPr>
      </w:pPr>
      <w:proofErr w:type="spellStart"/>
      <w:r w:rsidRPr="00D35656">
        <w:rPr>
          <w:rFonts w:ascii="Times New Roman" w:hAnsi="Times New Roman" w:cs="Times New Roman"/>
          <w:sz w:val="24"/>
          <w:szCs w:val="24"/>
          <w:lang w:val="en-US"/>
        </w:rPr>
        <w:t>Dębski</w:t>
      </w:r>
      <w:proofErr w:type="spellEnd"/>
      <w:r w:rsidRPr="00D35656">
        <w:rPr>
          <w:rFonts w:ascii="Times New Roman" w:hAnsi="Times New Roman" w:cs="Times New Roman"/>
          <w:sz w:val="24"/>
          <w:szCs w:val="24"/>
          <w:lang w:val="en-US"/>
        </w:rPr>
        <w:t xml:space="preserve"> W., </w:t>
      </w:r>
      <w:proofErr w:type="spellStart"/>
      <w:r w:rsidRPr="00D35656">
        <w:rPr>
          <w:rFonts w:ascii="Times New Roman" w:hAnsi="Times New Roman" w:cs="Times New Roman"/>
          <w:sz w:val="24"/>
          <w:szCs w:val="24"/>
          <w:lang w:val="en-US"/>
        </w:rPr>
        <w:t>Feder-Sempach</w:t>
      </w:r>
      <w:proofErr w:type="spellEnd"/>
      <w:r w:rsidRPr="00D35656">
        <w:rPr>
          <w:rFonts w:ascii="Times New Roman" w:hAnsi="Times New Roman" w:cs="Times New Roman"/>
          <w:sz w:val="24"/>
          <w:szCs w:val="24"/>
          <w:lang w:val="en-US"/>
        </w:rPr>
        <w:t xml:space="preserve"> E. (2012), Beta Coefficients of Polish Blue Chip Companies in the Period of 2005-2011, Folia </w:t>
      </w:r>
      <w:proofErr w:type="spellStart"/>
      <w:r w:rsidRPr="00D35656">
        <w:rPr>
          <w:rFonts w:ascii="Times New Roman" w:hAnsi="Times New Roman" w:cs="Times New Roman"/>
          <w:sz w:val="24"/>
          <w:szCs w:val="24"/>
          <w:lang w:val="en-US"/>
        </w:rPr>
        <w:t>Oeconomica</w:t>
      </w:r>
      <w:proofErr w:type="spellEnd"/>
      <w:r w:rsidRPr="00D35656">
        <w:rPr>
          <w:rFonts w:ascii="Times New Roman" w:hAnsi="Times New Roman" w:cs="Times New Roman"/>
          <w:sz w:val="24"/>
          <w:szCs w:val="24"/>
          <w:lang w:val="en-US"/>
        </w:rPr>
        <w:t xml:space="preserve"> </w:t>
      </w:r>
      <w:proofErr w:type="spellStart"/>
      <w:r w:rsidRPr="00D35656">
        <w:rPr>
          <w:rFonts w:ascii="Times New Roman" w:hAnsi="Times New Roman" w:cs="Times New Roman"/>
          <w:sz w:val="24"/>
          <w:szCs w:val="24"/>
          <w:lang w:val="en-US"/>
        </w:rPr>
        <w:t>Stetinensia</w:t>
      </w:r>
      <w:proofErr w:type="spellEnd"/>
      <w:r w:rsidRPr="00D35656">
        <w:rPr>
          <w:rFonts w:ascii="Times New Roman" w:hAnsi="Times New Roman" w:cs="Times New Roman"/>
          <w:sz w:val="24"/>
          <w:szCs w:val="24"/>
          <w:lang w:val="en-US"/>
        </w:rPr>
        <w:t>, 12(20), p. 90 - 102.</w:t>
      </w:r>
    </w:p>
    <w:p w14:paraId="41122068" w14:textId="77777777" w:rsidR="00747B41" w:rsidRPr="00D35656" w:rsidRDefault="00747B41" w:rsidP="00FD59B3">
      <w:pPr>
        <w:pStyle w:val="Akapitzlist"/>
        <w:numPr>
          <w:ilvl w:val="0"/>
          <w:numId w:val="2"/>
        </w:numPr>
        <w:ind w:left="284" w:hanging="284"/>
        <w:jc w:val="both"/>
        <w:rPr>
          <w:rFonts w:ascii="Times New Roman" w:hAnsi="Times New Roman" w:cs="Times New Roman"/>
          <w:sz w:val="24"/>
          <w:szCs w:val="24"/>
          <w:lang w:val="en-US"/>
        </w:rPr>
      </w:pPr>
      <w:proofErr w:type="spellStart"/>
      <w:r w:rsidRPr="007D48A5">
        <w:rPr>
          <w:rFonts w:ascii="Times New Roman" w:hAnsi="Times New Roman" w:cs="Times New Roman"/>
          <w:sz w:val="24"/>
          <w:szCs w:val="24"/>
        </w:rPr>
        <w:t>Feder-Sempach</w:t>
      </w:r>
      <w:proofErr w:type="spellEnd"/>
      <w:r w:rsidRPr="007D48A5">
        <w:rPr>
          <w:rFonts w:ascii="Times New Roman" w:hAnsi="Times New Roman" w:cs="Times New Roman"/>
          <w:sz w:val="24"/>
          <w:szCs w:val="24"/>
        </w:rPr>
        <w:t xml:space="preserve"> E. (2011), Ryzyko inwestycyjne. Analiza polskiego rynku akcji (Investment </w:t>
      </w:r>
      <w:proofErr w:type="spellStart"/>
      <w:r w:rsidRPr="007D48A5">
        <w:rPr>
          <w:rFonts w:ascii="Times New Roman" w:hAnsi="Times New Roman" w:cs="Times New Roman"/>
          <w:sz w:val="24"/>
          <w:szCs w:val="24"/>
        </w:rPr>
        <w:t>risk</w:t>
      </w:r>
      <w:proofErr w:type="spellEnd"/>
      <w:r w:rsidRPr="007D48A5">
        <w:rPr>
          <w:rFonts w:ascii="Times New Roman" w:hAnsi="Times New Roman" w:cs="Times New Roman"/>
          <w:sz w:val="24"/>
          <w:szCs w:val="24"/>
        </w:rPr>
        <w:t xml:space="preserve">. </w:t>
      </w:r>
      <w:r w:rsidRPr="00D35656">
        <w:rPr>
          <w:rFonts w:ascii="Times New Roman" w:hAnsi="Times New Roman" w:cs="Times New Roman"/>
          <w:sz w:val="24"/>
          <w:szCs w:val="24"/>
          <w:lang w:val="en-US"/>
        </w:rPr>
        <w:t xml:space="preserve">Analysis of the Polish stock market), </w:t>
      </w:r>
      <w:proofErr w:type="spellStart"/>
      <w:r w:rsidRPr="00D35656">
        <w:rPr>
          <w:rFonts w:ascii="Times New Roman" w:hAnsi="Times New Roman" w:cs="Times New Roman"/>
          <w:sz w:val="24"/>
          <w:szCs w:val="24"/>
          <w:lang w:val="en-US"/>
        </w:rPr>
        <w:t>CeDeWu</w:t>
      </w:r>
      <w:proofErr w:type="spellEnd"/>
      <w:r w:rsidRPr="00D35656">
        <w:rPr>
          <w:rFonts w:ascii="Times New Roman" w:hAnsi="Times New Roman" w:cs="Times New Roman"/>
          <w:sz w:val="24"/>
          <w:szCs w:val="24"/>
          <w:lang w:val="en-US"/>
        </w:rPr>
        <w:t>, Warszawa.</w:t>
      </w:r>
    </w:p>
    <w:p w14:paraId="6F720B7F" w14:textId="77777777" w:rsidR="00747B41" w:rsidRPr="00D35656" w:rsidRDefault="00747B41" w:rsidP="00FD59B3">
      <w:pPr>
        <w:pStyle w:val="Akapitzlist"/>
        <w:numPr>
          <w:ilvl w:val="0"/>
          <w:numId w:val="2"/>
        </w:numPr>
        <w:ind w:left="284" w:hanging="284"/>
        <w:jc w:val="both"/>
        <w:rPr>
          <w:rFonts w:ascii="Times New Roman" w:hAnsi="Times New Roman" w:cs="Times New Roman"/>
          <w:sz w:val="24"/>
          <w:szCs w:val="24"/>
          <w:lang w:val="en-US"/>
        </w:rPr>
      </w:pPr>
      <w:r w:rsidRPr="00D35656">
        <w:rPr>
          <w:rFonts w:ascii="Times New Roman" w:hAnsi="Times New Roman" w:cs="Times New Roman"/>
          <w:sz w:val="24"/>
          <w:szCs w:val="24"/>
          <w:lang w:val="en-US"/>
        </w:rPr>
        <w:t xml:space="preserve">Harrison B., </w:t>
      </w:r>
      <w:proofErr w:type="spellStart"/>
      <w:r w:rsidRPr="00D35656">
        <w:rPr>
          <w:rFonts w:ascii="Times New Roman" w:hAnsi="Times New Roman" w:cs="Times New Roman"/>
          <w:sz w:val="24"/>
          <w:szCs w:val="24"/>
          <w:lang w:val="en-US"/>
        </w:rPr>
        <w:t>Lupu</w:t>
      </w:r>
      <w:proofErr w:type="spellEnd"/>
      <w:r w:rsidRPr="00D35656">
        <w:rPr>
          <w:rFonts w:ascii="Times New Roman" w:hAnsi="Times New Roman" w:cs="Times New Roman"/>
          <w:sz w:val="24"/>
          <w:szCs w:val="24"/>
          <w:lang w:val="en-US"/>
        </w:rPr>
        <w:t xml:space="preserve"> R., </w:t>
      </w:r>
      <w:proofErr w:type="spellStart"/>
      <w:r w:rsidRPr="00D35656">
        <w:rPr>
          <w:rFonts w:ascii="Times New Roman" w:hAnsi="Times New Roman" w:cs="Times New Roman"/>
          <w:sz w:val="24"/>
          <w:szCs w:val="24"/>
          <w:lang w:val="en-US"/>
        </w:rPr>
        <w:t>Lupu</w:t>
      </w:r>
      <w:proofErr w:type="spellEnd"/>
      <w:r w:rsidRPr="00D35656">
        <w:rPr>
          <w:rFonts w:ascii="Times New Roman" w:hAnsi="Times New Roman" w:cs="Times New Roman"/>
          <w:sz w:val="24"/>
          <w:szCs w:val="24"/>
          <w:lang w:val="en-US"/>
        </w:rPr>
        <w:t xml:space="preserve"> I. (2010), Statistical Properties of the CEE Stock Market Dynamics. A Panel Data Analysis, The Romanian Economic Journal, September, No 37, p. 41-54.</w:t>
      </w:r>
    </w:p>
    <w:p w14:paraId="052FFF8D" w14:textId="77777777" w:rsidR="00747B41" w:rsidRPr="00FD59B3" w:rsidRDefault="00747B41" w:rsidP="00FD59B3">
      <w:pPr>
        <w:pStyle w:val="Akapitzlist"/>
        <w:numPr>
          <w:ilvl w:val="0"/>
          <w:numId w:val="2"/>
        </w:numPr>
        <w:ind w:left="284" w:hanging="284"/>
        <w:jc w:val="both"/>
        <w:rPr>
          <w:rFonts w:ascii="Times New Roman" w:hAnsi="Times New Roman" w:cs="Times New Roman"/>
          <w:sz w:val="24"/>
          <w:szCs w:val="24"/>
          <w:lang w:val="en-US"/>
        </w:rPr>
      </w:pPr>
      <w:proofErr w:type="spellStart"/>
      <w:r w:rsidRPr="007D48A5">
        <w:rPr>
          <w:rFonts w:ascii="Times New Roman" w:hAnsi="Times New Roman" w:cs="Times New Roman"/>
          <w:sz w:val="24"/>
          <w:szCs w:val="24"/>
        </w:rPr>
        <w:t>Kompa</w:t>
      </w:r>
      <w:proofErr w:type="spellEnd"/>
      <w:r w:rsidRPr="007D48A5">
        <w:rPr>
          <w:rFonts w:ascii="Times New Roman" w:hAnsi="Times New Roman" w:cs="Times New Roman"/>
          <w:sz w:val="24"/>
          <w:szCs w:val="24"/>
        </w:rPr>
        <w:t xml:space="preserve"> K., Matuszewska-</w:t>
      </w:r>
      <w:proofErr w:type="spellStart"/>
      <w:r w:rsidRPr="007D48A5">
        <w:rPr>
          <w:rFonts w:ascii="Times New Roman" w:hAnsi="Times New Roman" w:cs="Times New Roman"/>
          <w:sz w:val="24"/>
          <w:szCs w:val="24"/>
        </w:rPr>
        <w:t>Janica</w:t>
      </w:r>
      <w:proofErr w:type="spellEnd"/>
      <w:r w:rsidRPr="007D48A5">
        <w:rPr>
          <w:rFonts w:ascii="Times New Roman" w:hAnsi="Times New Roman" w:cs="Times New Roman"/>
          <w:sz w:val="24"/>
          <w:szCs w:val="24"/>
        </w:rPr>
        <w:t xml:space="preserve"> A. (2008), Charakterystyki opisowe i efektywność informacyjna wybranych instrumentów notowanych na GPW, [w:] Rynek kapitałowy. </w:t>
      </w:r>
      <w:proofErr w:type="spellStart"/>
      <w:r w:rsidRPr="00D35656">
        <w:rPr>
          <w:rFonts w:ascii="Times New Roman" w:hAnsi="Times New Roman" w:cs="Times New Roman"/>
          <w:sz w:val="24"/>
          <w:szCs w:val="24"/>
          <w:lang w:val="en-US"/>
        </w:rPr>
        <w:t>Skuteczne</w:t>
      </w:r>
      <w:proofErr w:type="spellEnd"/>
      <w:r w:rsidRPr="00D35656">
        <w:rPr>
          <w:rFonts w:ascii="Times New Roman" w:hAnsi="Times New Roman" w:cs="Times New Roman"/>
          <w:sz w:val="24"/>
          <w:szCs w:val="24"/>
          <w:lang w:val="en-US"/>
        </w:rPr>
        <w:t xml:space="preserve"> </w:t>
      </w:r>
      <w:proofErr w:type="spellStart"/>
      <w:r w:rsidRPr="00D35656">
        <w:rPr>
          <w:rFonts w:ascii="Times New Roman" w:hAnsi="Times New Roman" w:cs="Times New Roman"/>
          <w:sz w:val="24"/>
          <w:szCs w:val="24"/>
          <w:lang w:val="en-US"/>
        </w:rPr>
        <w:t>inwestowanie</w:t>
      </w:r>
      <w:proofErr w:type="spellEnd"/>
      <w:r w:rsidRPr="00D35656">
        <w:rPr>
          <w:rFonts w:ascii="Times New Roman" w:hAnsi="Times New Roman" w:cs="Times New Roman"/>
          <w:sz w:val="24"/>
          <w:szCs w:val="24"/>
          <w:lang w:val="en-US"/>
        </w:rPr>
        <w:t xml:space="preserve">, [ed.] </w:t>
      </w:r>
      <w:proofErr w:type="spellStart"/>
      <w:r w:rsidRPr="00D35656">
        <w:rPr>
          <w:rFonts w:ascii="Times New Roman" w:hAnsi="Times New Roman" w:cs="Times New Roman"/>
          <w:sz w:val="24"/>
          <w:szCs w:val="24"/>
          <w:lang w:val="en-US"/>
        </w:rPr>
        <w:t>Tarczyński</w:t>
      </w:r>
      <w:proofErr w:type="spellEnd"/>
      <w:r w:rsidRPr="00D35656">
        <w:rPr>
          <w:rFonts w:ascii="Times New Roman" w:hAnsi="Times New Roman" w:cs="Times New Roman"/>
          <w:sz w:val="24"/>
          <w:szCs w:val="24"/>
          <w:lang w:val="en-US"/>
        </w:rPr>
        <w:t xml:space="preserve"> W., </w:t>
      </w:r>
      <w:proofErr w:type="spellStart"/>
      <w:r w:rsidRPr="00D35656">
        <w:rPr>
          <w:rFonts w:ascii="Times New Roman" w:hAnsi="Times New Roman" w:cs="Times New Roman"/>
          <w:sz w:val="24"/>
          <w:szCs w:val="24"/>
          <w:lang w:val="en-US"/>
        </w:rPr>
        <w:t>Studia</w:t>
      </w:r>
      <w:proofErr w:type="spellEnd"/>
      <w:r w:rsidRPr="00D35656">
        <w:rPr>
          <w:rFonts w:ascii="Times New Roman" w:hAnsi="Times New Roman" w:cs="Times New Roman"/>
          <w:sz w:val="24"/>
          <w:szCs w:val="24"/>
          <w:lang w:val="en-US"/>
        </w:rPr>
        <w:t xml:space="preserve"> </w:t>
      </w:r>
      <w:proofErr w:type="spellStart"/>
      <w:r w:rsidRPr="00D35656">
        <w:rPr>
          <w:rFonts w:ascii="Times New Roman" w:hAnsi="Times New Roman" w:cs="Times New Roman"/>
          <w:sz w:val="24"/>
          <w:szCs w:val="24"/>
          <w:lang w:val="en-US"/>
        </w:rPr>
        <w:t>i</w:t>
      </w:r>
      <w:proofErr w:type="spellEnd"/>
      <w:r w:rsidRPr="00D35656">
        <w:rPr>
          <w:rFonts w:ascii="Times New Roman" w:hAnsi="Times New Roman" w:cs="Times New Roman"/>
          <w:sz w:val="24"/>
          <w:szCs w:val="24"/>
          <w:lang w:val="en-US"/>
        </w:rPr>
        <w:t xml:space="preserve"> </w:t>
      </w:r>
      <w:proofErr w:type="spellStart"/>
      <w:r w:rsidRPr="00D35656">
        <w:rPr>
          <w:rFonts w:ascii="Times New Roman" w:hAnsi="Times New Roman" w:cs="Times New Roman"/>
          <w:sz w:val="24"/>
          <w:szCs w:val="24"/>
          <w:lang w:val="en-US"/>
        </w:rPr>
        <w:t>prace</w:t>
      </w:r>
      <w:proofErr w:type="spellEnd"/>
      <w:r w:rsidRPr="00D35656">
        <w:rPr>
          <w:rFonts w:ascii="Times New Roman" w:hAnsi="Times New Roman" w:cs="Times New Roman"/>
          <w:sz w:val="24"/>
          <w:szCs w:val="24"/>
          <w:lang w:val="en-US"/>
        </w:rPr>
        <w:t xml:space="preserve"> </w:t>
      </w:r>
      <w:proofErr w:type="spellStart"/>
      <w:r w:rsidRPr="00D35656">
        <w:rPr>
          <w:rFonts w:ascii="Times New Roman" w:hAnsi="Times New Roman" w:cs="Times New Roman"/>
          <w:sz w:val="24"/>
          <w:szCs w:val="24"/>
          <w:lang w:val="en-US"/>
        </w:rPr>
        <w:t>Wydziału</w:t>
      </w:r>
      <w:proofErr w:type="spellEnd"/>
      <w:r w:rsidRPr="00D35656">
        <w:rPr>
          <w:rFonts w:ascii="Times New Roman" w:hAnsi="Times New Roman" w:cs="Times New Roman"/>
          <w:sz w:val="24"/>
          <w:szCs w:val="24"/>
          <w:lang w:val="en-US"/>
        </w:rPr>
        <w:t xml:space="preserve"> </w:t>
      </w:r>
      <w:proofErr w:type="spellStart"/>
      <w:r w:rsidRPr="00D35656">
        <w:rPr>
          <w:rFonts w:ascii="Times New Roman" w:hAnsi="Times New Roman" w:cs="Times New Roman"/>
          <w:sz w:val="24"/>
          <w:szCs w:val="24"/>
          <w:lang w:val="en-US"/>
        </w:rPr>
        <w:t>Nauk</w:t>
      </w:r>
      <w:proofErr w:type="spellEnd"/>
      <w:r w:rsidRPr="00D35656">
        <w:rPr>
          <w:rFonts w:ascii="Times New Roman" w:hAnsi="Times New Roman" w:cs="Times New Roman"/>
          <w:sz w:val="24"/>
          <w:szCs w:val="24"/>
          <w:lang w:val="en-US"/>
        </w:rPr>
        <w:t xml:space="preserve"> </w:t>
      </w:r>
      <w:proofErr w:type="spellStart"/>
      <w:r w:rsidRPr="00D35656">
        <w:rPr>
          <w:rFonts w:ascii="Times New Roman" w:hAnsi="Times New Roman" w:cs="Times New Roman"/>
          <w:sz w:val="24"/>
          <w:szCs w:val="24"/>
          <w:lang w:val="en-US"/>
        </w:rPr>
        <w:t>Ekonomicznych</w:t>
      </w:r>
      <w:proofErr w:type="spellEnd"/>
      <w:r w:rsidRPr="00D35656">
        <w:rPr>
          <w:rFonts w:ascii="Times New Roman" w:hAnsi="Times New Roman" w:cs="Times New Roman"/>
          <w:sz w:val="24"/>
          <w:szCs w:val="24"/>
          <w:lang w:val="en-US"/>
        </w:rPr>
        <w:t xml:space="preserve"> </w:t>
      </w:r>
      <w:proofErr w:type="spellStart"/>
      <w:r w:rsidRPr="00D35656">
        <w:rPr>
          <w:rFonts w:ascii="Times New Roman" w:hAnsi="Times New Roman" w:cs="Times New Roman"/>
          <w:sz w:val="24"/>
          <w:szCs w:val="24"/>
          <w:lang w:val="en-US"/>
        </w:rPr>
        <w:t>i</w:t>
      </w:r>
      <w:proofErr w:type="spellEnd"/>
      <w:r w:rsidRPr="00D35656">
        <w:rPr>
          <w:rFonts w:ascii="Times New Roman" w:hAnsi="Times New Roman" w:cs="Times New Roman"/>
          <w:sz w:val="24"/>
          <w:szCs w:val="24"/>
          <w:lang w:val="en-US"/>
        </w:rPr>
        <w:t xml:space="preserve"> </w:t>
      </w:r>
      <w:proofErr w:type="spellStart"/>
      <w:r w:rsidRPr="00D35656">
        <w:rPr>
          <w:rFonts w:ascii="Times New Roman" w:hAnsi="Times New Roman" w:cs="Times New Roman"/>
          <w:sz w:val="24"/>
          <w:szCs w:val="24"/>
          <w:lang w:val="en-US"/>
        </w:rPr>
        <w:t>Zarządzania</w:t>
      </w:r>
      <w:proofErr w:type="spellEnd"/>
      <w:r w:rsidRPr="00D35656">
        <w:rPr>
          <w:rFonts w:ascii="Times New Roman" w:hAnsi="Times New Roman" w:cs="Times New Roman"/>
          <w:sz w:val="24"/>
          <w:szCs w:val="24"/>
          <w:lang w:val="en-US"/>
        </w:rPr>
        <w:t xml:space="preserve"> (The characteristics of descriptive and informational efficiency of selected instruments listed on Warsaw Stock Exchange, [in] The capital market. Successful investing), </w:t>
      </w:r>
      <w:proofErr w:type="spellStart"/>
      <w:r w:rsidRPr="00D35656">
        <w:rPr>
          <w:rFonts w:ascii="Times New Roman" w:hAnsi="Times New Roman" w:cs="Times New Roman"/>
          <w:sz w:val="24"/>
          <w:szCs w:val="24"/>
          <w:lang w:val="en-US"/>
        </w:rPr>
        <w:t>Uniwersytet</w:t>
      </w:r>
      <w:proofErr w:type="spellEnd"/>
      <w:r w:rsidRPr="00D35656">
        <w:rPr>
          <w:rFonts w:ascii="Times New Roman" w:hAnsi="Times New Roman" w:cs="Times New Roman"/>
          <w:sz w:val="24"/>
          <w:szCs w:val="24"/>
          <w:lang w:val="en-US"/>
        </w:rPr>
        <w:t xml:space="preserve"> </w:t>
      </w:r>
      <w:proofErr w:type="spellStart"/>
      <w:r w:rsidRPr="00D35656">
        <w:rPr>
          <w:rFonts w:ascii="Times New Roman" w:hAnsi="Times New Roman" w:cs="Times New Roman"/>
          <w:sz w:val="24"/>
          <w:szCs w:val="24"/>
          <w:lang w:val="en-US"/>
        </w:rPr>
        <w:t>Szczeciński</w:t>
      </w:r>
      <w:proofErr w:type="spellEnd"/>
      <w:r w:rsidRPr="00D35656">
        <w:rPr>
          <w:rFonts w:ascii="Times New Roman" w:hAnsi="Times New Roman" w:cs="Times New Roman"/>
          <w:sz w:val="24"/>
          <w:szCs w:val="24"/>
          <w:lang w:val="en-US"/>
        </w:rPr>
        <w:t>, Nr 9, Szczecin, p. 614-629.</w:t>
      </w:r>
    </w:p>
    <w:p w14:paraId="1D6B73CE" w14:textId="77777777" w:rsidR="00747B41" w:rsidRPr="00D35656" w:rsidRDefault="00747B41" w:rsidP="00FD59B3">
      <w:pPr>
        <w:pStyle w:val="Akapitzlist"/>
        <w:numPr>
          <w:ilvl w:val="0"/>
          <w:numId w:val="2"/>
        </w:numPr>
        <w:ind w:left="284" w:hanging="284"/>
        <w:jc w:val="both"/>
        <w:rPr>
          <w:rFonts w:ascii="Times New Roman" w:hAnsi="Times New Roman" w:cs="Times New Roman"/>
          <w:sz w:val="24"/>
          <w:szCs w:val="24"/>
          <w:lang w:val="en-US"/>
        </w:rPr>
      </w:pPr>
      <w:r w:rsidRPr="00D35656">
        <w:rPr>
          <w:rFonts w:ascii="Times New Roman" w:hAnsi="Times New Roman" w:cs="Times New Roman"/>
          <w:sz w:val="24"/>
          <w:szCs w:val="24"/>
          <w:lang w:val="en-US"/>
        </w:rPr>
        <w:t>Officer R. (1972), The Distribution of Stock Returns, Journal of American Statistical Association, December, Volume 67, No 340, p. 807-812.</w:t>
      </w:r>
    </w:p>
    <w:p w14:paraId="3E46666D" w14:textId="77777777" w:rsidR="00747B41" w:rsidRPr="00FD59B3" w:rsidRDefault="00747B41" w:rsidP="00FD59B3">
      <w:pPr>
        <w:pStyle w:val="Akapitzlist"/>
        <w:numPr>
          <w:ilvl w:val="0"/>
          <w:numId w:val="2"/>
        </w:numPr>
        <w:ind w:left="284" w:hanging="284"/>
        <w:jc w:val="both"/>
        <w:rPr>
          <w:rFonts w:ascii="Times New Roman" w:hAnsi="Times New Roman" w:cs="Times New Roman"/>
          <w:sz w:val="24"/>
          <w:szCs w:val="24"/>
          <w:lang w:val="en-US"/>
        </w:rPr>
      </w:pPr>
      <w:r w:rsidRPr="00D35656">
        <w:rPr>
          <w:rFonts w:ascii="Times New Roman" w:hAnsi="Times New Roman" w:cs="Times New Roman"/>
          <w:sz w:val="24"/>
          <w:szCs w:val="24"/>
          <w:lang w:val="en-US"/>
        </w:rPr>
        <w:t xml:space="preserve">Pagan A. R., </w:t>
      </w:r>
      <w:proofErr w:type="spellStart"/>
      <w:r w:rsidRPr="00D35656">
        <w:rPr>
          <w:rFonts w:ascii="Times New Roman" w:hAnsi="Times New Roman" w:cs="Times New Roman"/>
          <w:sz w:val="24"/>
          <w:szCs w:val="24"/>
          <w:lang w:val="en-US"/>
        </w:rPr>
        <w:t>Sossounov</w:t>
      </w:r>
      <w:proofErr w:type="spellEnd"/>
      <w:r w:rsidRPr="00D35656">
        <w:rPr>
          <w:rFonts w:ascii="Times New Roman" w:hAnsi="Times New Roman" w:cs="Times New Roman"/>
          <w:sz w:val="24"/>
          <w:szCs w:val="24"/>
          <w:lang w:val="en-US"/>
        </w:rPr>
        <w:t xml:space="preserve"> K. </w:t>
      </w:r>
      <w:proofErr w:type="gramStart"/>
      <w:r w:rsidRPr="00D35656">
        <w:rPr>
          <w:rFonts w:ascii="Times New Roman" w:hAnsi="Times New Roman" w:cs="Times New Roman"/>
          <w:sz w:val="24"/>
          <w:szCs w:val="24"/>
          <w:lang w:val="en-US"/>
        </w:rPr>
        <w:t>A.(</w:t>
      </w:r>
      <w:proofErr w:type="gramEnd"/>
      <w:r w:rsidRPr="00D35656">
        <w:rPr>
          <w:rFonts w:ascii="Times New Roman" w:hAnsi="Times New Roman" w:cs="Times New Roman"/>
          <w:sz w:val="24"/>
          <w:szCs w:val="24"/>
          <w:lang w:val="en-US"/>
        </w:rPr>
        <w:t>2003), A Simple Framework for Analyzing Bull and Bear Markets, Journal of Applied Econometrics, Vol. 18, p. 23-46.</w:t>
      </w:r>
    </w:p>
    <w:p w14:paraId="2DD42D1B" w14:textId="77777777" w:rsidR="00747B41" w:rsidRPr="00FD59B3" w:rsidRDefault="00747B41" w:rsidP="00FD59B3">
      <w:pPr>
        <w:pStyle w:val="Akapitzlist"/>
        <w:numPr>
          <w:ilvl w:val="0"/>
          <w:numId w:val="2"/>
        </w:numPr>
        <w:ind w:left="284" w:hanging="284"/>
        <w:jc w:val="both"/>
        <w:rPr>
          <w:rFonts w:ascii="Times New Roman" w:hAnsi="Times New Roman" w:cs="Times New Roman"/>
          <w:sz w:val="24"/>
          <w:szCs w:val="24"/>
          <w:lang w:val="en-US"/>
        </w:rPr>
      </w:pPr>
      <w:proofErr w:type="spellStart"/>
      <w:r w:rsidRPr="00D35656">
        <w:rPr>
          <w:rFonts w:ascii="Times New Roman" w:hAnsi="Times New Roman" w:cs="Times New Roman"/>
          <w:sz w:val="24"/>
          <w:szCs w:val="24"/>
          <w:lang w:val="en-US"/>
        </w:rPr>
        <w:t>Schwert</w:t>
      </w:r>
      <w:proofErr w:type="spellEnd"/>
      <w:r w:rsidRPr="00D35656">
        <w:rPr>
          <w:rFonts w:ascii="Times New Roman" w:hAnsi="Times New Roman" w:cs="Times New Roman"/>
          <w:sz w:val="24"/>
          <w:szCs w:val="24"/>
          <w:lang w:val="en-US"/>
        </w:rPr>
        <w:t xml:space="preserve"> S., Seguin P. </w:t>
      </w:r>
      <w:proofErr w:type="gramStart"/>
      <w:r w:rsidRPr="00D35656">
        <w:rPr>
          <w:rFonts w:ascii="Times New Roman" w:hAnsi="Times New Roman" w:cs="Times New Roman"/>
          <w:sz w:val="24"/>
          <w:szCs w:val="24"/>
          <w:lang w:val="en-US"/>
        </w:rPr>
        <w:t>J.(</w:t>
      </w:r>
      <w:proofErr w:type="gramEnd"/>
      <w:r w:rsidRPr="00D35656">
        <w:rPr>
          <w:rFonts w:ascii="Times New Roman" w:hAnsi="Times New Roman" w:cs="Times New Roman"/>
          <w:sz w:val="24"/>
          <w:szCs w:val="24"/>
          <w:lang w:val="en-US"/>
        </w:rPr>
        <w:t xml:space="preserve">1990), Heteroscedasticity in Stock Returns, “Journal of Finance”, Vol. 4, p. 1129-1155. </w:t>
      </w:r>
    </w:p>
    <w:p w14:paraId="3FD31F8D" w14:textId="77777777" w:rsidR="00747B41" w:rsidRPr="00FD59B3" w:rsidRDefault="00747B41" w:rsidP="005271FF">
      <w:pPr>
        <w:pStyle w:val="Akapitzlist"/>
        <w:numPr>
          <w:ilvl w:val="0"/>
          <w:numId w:val="2"/>
        </w:numPr>
        <w:ind w:left="284" w:hanging="426"/>
        <w:jc w:val="both"/>
        <w:rPr>
          <w:rFonts w:ascii="Times New Roman" w:hAnsi="Times New Roman" w:cs="Times New Roman"/>
          <w:sz w:val="24"/>
          <w:szCs w:val="24"/>
          <w:lang w:val="en-US"/>
        </w:rPr>
      </w:pPr>
      <w:r w:rsidRPr="00D35656">
        <w:rPr>
          <w:rFonts w:ascii="Times New Roman" w:hAnsi="Times New Roman" w:cs="Times New Roman"/>
          <w:sz w:val="24"/>
          <w:szCs w:val="24"/>
          <w:lang w:val="en-US"/>
        </w:rPr>
        <w:t>Sharpe W. F. (1964), Capital Assets Prices: A Theory of Market Equilibrium under Condition of Risk, “Journal of Finance”, Vol. 19, No 3, September, p. 425-442.</w:t>
      </w:r>
    </w:p>
    <w:p w14:paraId="4CE3F3F3" w14:textId="35C9C9C3" w:rsidR="00D811B1" w:rsidRPr="00FD59B3" w:rsidRDefault="00747B41" w:rsidP="005271FF">
      <w:pPr>
        <w:pStyle w:val="Akapitzlist"/>
        <w:numPr>
          <w:ilvl w:val="0"/>
          <w:numId w:val="2"/>
        </w:numPr>
        <w:ind w:left="284" w:hanging="426"/>
        <w:jc w:val="both"/>
        <w:rPr>
          <w:rFonts w:ascii="Times New Roman" w:hAnsi="Times New Roman" w:cs="Times New Roman"/>
          <w:sz w:val="24"/>
          <w:szCs w:val="24"/>
        </w:rPr>
      </w:pPr>
      <w:r w:rsidRPr="00FD59B3">
        <w:rPr>
          <w:rFonts w:ascii="Times New Roman" w:hAnsi="Times New Roman" w:cs="Times New Roman"/>
          <w:sz w:val="24"/>
          <w:szCs w:val="24"/>
        </w:rPr>
        <w:t xml:space="preserve">Tarczyński W., Witkowska D., </w:t>
      </w:r>
      <w:proofErr w:type="spellStart"/>
      <w:r w:rsidRPr="00FD59B3">
        <w:rPr>
          <w:rFonts w:ascii="Times New Roman" w:hAnsi="Times New Roman" w:cs="Times New Roman"/>
          <w:sz w:val="24"/>
          <w:szCs w:val="24"/>
        </w:rPr>
        <w:t>Kompa</w:t>
      </w:r>
      <w:proofErr w:type="spellEnd"/>
      <w:r w:rsidRPr="00FD59B3">
        <w:rPr>
          <w:rFonts w:ascii="Times New Roman" w:hAnsi="Times New Roman" w:cs="Times New Roman"/>
          <w:sz w:val="24"/>
          <w:szCs w:val="24"/>
        </w:rPr>
        <w:t xml:space="preserve"> K. (2013), Współczynnik beta. Teoria i praktyka (The beta </w:t>
      </w:r>
      <w:proofErr w:type="spellStart"/>
      <w:r w:rsidRPr="00FD59B3">
        <w:rPr>
          <w:rFonts w:ascii="Times New Roman" w:hAnsi="Times New Roman" w:cs="Times New Roman"/>
          <w:sz w:val="24"/>
          <w:szCs w:val="24"/>
        </w:rPr>
        <w:t>parameter</w:t>
      </w:r>
      <w:proofErr w:type="spellEnd"/>
      <w:r w:rsidRPr="00FD59B3">
        <w:rPr>
          <w:rFonts w:ascii="Times New Roman" w:hAnsi="Times New Roman" w:cs="Times New Roman"/>
          <w:sz w:val="24"/>
          <w:szCs w:val="24"/>
        </w:rPr>
        <w:t xml:space="preserve">. </w:t>
      </w:r>
      <w:proofErr w:type="spellStart"/>
      <w:r w:rsidRPr="00FD59B3">
        <w:rPr>
          <w:rFonts w:ascii="Times New Roman" w:hAnsi="Times New Roman" w:cs="Times New Roman"/>
          <w:sz w:val="24"/>
          <w:szCs w:val="24"/>
        </w:rPr>
        <w:t>Theory</w:t>
      </w:r>
      <w:proofErr w:type="spellEnd"/>
      <w:r w:rsidRPr="00FD59B3">
        <w:rPr>
          <w:rFonts w:ascii="Times New Roman" w:hAnsi="Times New Roman" w:cs="Times New Roman"/>
          <w:sz w:val="24"/>
          <w:szCs w:val="24"/>
        </w:rPr>
        <w:t xml:space="preserve"> and </w:t>
      </w:r>
      <w:proofErr w:type="spellStart"/>
      <w:r w:rsidRPr="00FD59B3">
        <w:rPr>
          <w:rFonts w:ascii="Times New Roman" w:hAnsi="Times New Roman" w:cs="Times New Roman"/>
          <w:sz w:val="24"/>
          <w:szCs w:val="24"/>
        </w:rPr>
        <w:t>practice</w:t>
      </w:r>
      <w:proofErr w:type="spellEnd"/>
      <w:r w:rsidRPr="00FD59B3">
        <w:rPr>
          <w:rFonts w:ascii="Times New Roman" w:hAnsi="Times New Roman" w:cs="Times New Roman"/>
          <w:sz w:val="24"/>
          <w:szCs w:val="24"/>
        </w:rPr>
        <w:t xml:space="preserve">), </w:t>
      </w:r>
      <w:proofErr w:type="spellStart"/>
      <w:r w:rsidRPr="00FD59B3">
        <w:rPr>
          <w:rFonts w:ascii="Times New Roman" w:hAnsi="Times New Roman" w:cs="Times New Roman"/>
          <w:sz w:val="24"/>
          <w:szCs w:val="24"/>
        </w:rPr>
        <w:t>Pielaszek</w:t>
      </w:r>
      <w:proofErr w:type="spellEnd"/>
      <w:r w:rsidRPr="00FD59B3">
        <w:rPr>
          <w:rFonts w:ascii="Times New Roman" w:hAnsi="Times New Roman" w:cs="Times New Roman"/>
          <w:sz w:val="24"/>
          <w:szCs w:val="24"/>
        </w:rPr>
        <w:t xml:space="preserve"> Research, Warszawa.</w:t>
      </w:r>
    </w:p>
    <w:sectPr w:rsidR="00D811B1" w:rsidRPr="00FD59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C0624" w14:textId="77777777" w:rsidR="00F031A2" w:rsidRDefault="00F031A2" w:rsidP="0061754C">
      <w:pPr>
        <w:spacing w:after="0" w:line="240" w:lineRule="auto"/>
      </w:pPr>
      <w:r>
        <w:separator/>
      </w:r>
    </w:p>
  </w:endnote>
  <w:endnote w:type="continuationSeparator" w:id="0">
    <w:p w14:paraId="4C472C66" w14:textId="77777777" w:rsidR="00F031A2" w:rsidRDefault="00F031A2" w:rsidP="0061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178581"/>
      <w:docPartObj>
        <w:docPartGallery w:val="Page Numbers (Bottom of Page)"/>
        <w:docPartUnique/>
      </w:docPartObj>
    </w:sdtPr>
    <w:sdtEndPr/>
    <w:sdtContent>
      <w:p w14:paraId="6EE2A9E6" w14:textId="77777777" w:rsidR="00DD3151" w:rsidRDefault="00DD3151">
        <w:pPr>
          <w:pStyle w:val="Stopka"/>
          <w:jc w:val="center"/>
        </w:pPr>
        <w:r>
          <w:fldChar w:fldCharType="begin"/>
        </w:r>
        <w:r>
          <w:instrText>PAGE   \* MERGEFORMAT</w:instrText>
        </w:r>
        <w:r>
          <w:fldChar w:fldCharType="separate"/>
        </w:r>
        <w:r w:rsidR="00D67D6B">
          <w:rPr>
            <w:noProof/>
          </w:rPr>
          <w:t>10</w:t>
        </w:r>
        <w:r>
          <w:fldChar w:fldCharType="end"/>
        </w:r>
      </w:p>
    </w:sdtContent>
  </w:sdt>
  <w:p w14:paraId="089CCA7A" w14:textId="77777777" w:rsidR="00DD3151" w:rsidRDefault="00DD3151">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D74C9" w14:textId="77777777" w:rsidR="00F031A2" w:rsidRDefault="00F031A2" w:rsidP="0061754C">
      <w:pPr>
        <w:spacing w:after="0" w:line="240" w:lineRule="auto"/>
      </w:pPr>
      <w:r>
        <w:separator/>
      </w:r>
    </w:p>
  </w:footnote>
  <w:footnote w:type="continuationSeparator" w:id="0">
    <w:p w14:paraId="4FA6BA90" w14:textId="77777777" w:rsidR="00F031A2" w:rsidRDefault="00F031A2" w:rsidP="0061754C">
      <w:pPr>
        <w:spacing w:after="0" w:line="240" w:lineRule="auto"/>
      </w:pPr>
      <w:r>
        <w:continuationSeparator/>
      </w:r>
    </w:p>
  </w:footnote>
  <w:footnote w:id="1">
    <w:p w14:paraId="4EA91E68" w14:textId="216B4FE7" w:rsidR="00EC1DE2" w:rsidRPr="001320E2" w:rsidRDefault="00EC1DE2">
      <w:pPr>
        <w:pStyle w:val="Tekstprzypisudolnego"/>
        <w:rPr>
          <w:rFonts w:ascii="Times New Roman" w:hAnsi="Times New Roman" w:cs="Times New Roman"/>
          <w:lang w:val="en-US"/>
        </w:rPr>
      </w:pPr>
      <w:r>
        <w:rPr>
          <w:rStyle w:val="Odwoanieprzypisudolnego"/>
        </w:rPr>
        <w:footnoteRef/>
      </w:r>
      <w:r>
        <w:t xml:space="preserve"> </w:t>
      </w:r>
      <w:r w:rsidRPr="001320E2">
        <w:rPr>
          <w:rFonts w:ascii="Times New Roman" w:hAnsi="Times New Roman" w:cs="Times New Roman"/>
          <w:lang w:val="en-US"/>
        </w:rPr>
        <w:t>The full description of the conducted research is included in CEST2015 Proceedings, ISBN 83-89588-46X, Lodz 2016, available on www.cest2015.uni.lodz.pl</w:t>
      </w:r>
    </w:p>
  </w:footnote>
  <w:footnote w:id="2">
    <w:p w14:paraId="52DD4A27" w14:textId="5FA1CB9E" w:rsidR="00066BBB" w:rsidRPr="00066BBB" w:rsidRDefault="00066BBB">
      <w:pPr>
        <w:pStyle w:val="Tekstprzypisudolnego"/>
        <w:rPr>
          <w:rFonts w:ascii="Times New Roman" w:hAnsi="Times New Roman" w:cs="Times New Roman"/>
          <w:lang w:val="en-US"/>
        </w:rPr>
      </w:pPr>
      <w:r>
        <w:rPr>
          <w:rStyle w:val="Odwoanieprzypisudolnego"/>
        </w:rPr>
        <w:footnoteRef/>
      </w:r>
      <w:r w:rsidRPr="00066BBB">
        <w:rPr>
          <w:lang w:val="en-US"/>
        </w:rPr>
        <w:t xml:space="preserve"> </w:t>
      </w:r>
      <w:r w:rsidRPr="00066BBB">
        <w:rPr>
          <w:rFonts w:ascii="Times New Roman" w:hAnsi="Times New Roman" w:cs="Times New Roman"/>
          <w:lang w:val="en-US"/>
        </w:rPr>
        <w:t xml:space="preserve">The </w:t>
      </w:r>
      <w:proofErr w:type="spellStart"/>
      <w:r w:rsidRPr="00066BBB">
        <w:rPr>
          <w:rFonts w:ascii="Times New Roman" w:hAnsi="Times New Roman" w:cs="Times New Roman"/>
          <w:lang w:val="en-US"/>
        </w:rPr>
        <w:t>WIGPlus</w:t>
      </w:r>
      <w:proofErr w:type="spellEnd"/>
      <w:r w:rsidRPr="00066BBB">
        <w:rPr>
          <w:rFonts w:ascii="Times New Roman" w:hAnsi="Times New Roman" w:cs="Times New Roman"/>
          <w:lang w:val="en-US"/>
        </w:rPr>
        <w:t xml:space="preserve"> index complements the WIG20, mWIG40 and sWIG80 indexes. It consists of companies that are not eligible for the above-mentioned indices and at the same time belong to the 5PLUS segment, which means that their average market value in the last quarter is in the range of 5 to 50 million euros.</w:t>
      </w:r>
    </w:p>
  </w:footnote>
  <w:footnote w:id="3">
    <w:p w14:paraId="64C75DD7" w14:textId="140775B1" w:rsidR="00DD3151" w:rsidRPr="00CD336E" w:rsidRDefault="00DD3151">
      <w:pPr>
        <w:pStyle w:val="Tekstprzypisudolnego"/>
        <w:rPr>
          <w:lang w:val="en-US"/>
        </w:rPr>
      </w:pPr>
      <w:r>
        <w:rPr>
          <w:rStyle w:val="Odwoanieprzypisudolnego"/>
        </w:rPr>
        <w:footnoteRef/>
      </w:r>
      <w:r w:rsidRPr="00CD336E">
        <w:rPr>
          <w:lang w:val="en-US"/>
        </w:rPr>
        <w:t xml:space="preserve"> </w:t>
      </w:r>
      <w:r w:rsidRPr="00CD336E">
        <w:rPr>
          <w:rFonts w:ascii="Times New Roman" w:hAnsi="Times New Roman" w:cs="Times New Roman"/>
          <w:lang w:val="en-US"/>
        </w:rPr>
        <w:t xml:space="preserve">Formulas for these statistics, as well as tests for verification of the hypotheses mentioned in the article can be found, inter alia, in: </w:t>
      </w:r>
      <w:proofErr w:type="spellStart"/>
      <w:r w:rsidRPr="00CD336E">
        <w:rPr>
          <w:rFonts w:ascii="Times New Roman" w:hAnsi="Times New Roman" w:cs="Times New Roman"/>
          <w:lang w:val="en-US"/>
        </w:rPr>
        <w:t>Tarczyński</w:t>
      </w:r>
      <w:proofErr w:type="spellEnd"/>
      <w:r w:rsidRPr="00CD336E">
        <w:rPr>
          <w:rFonts w:ascii="Times New Roman" w:hAnsi="Times New Roman" w:cs="Times New Roman"/>
          <w:lang w:val="en-US"/>
        </w:rPr>
        <w:t xml:space="preserve"> W., Witkowska D., </w:t>
      </w:r>
      <w:proofErr w:type="spellStart"/>
      <w:r w:rsidRPr="00CD336E">
        <w:rPr>
          <w:rFonts w:ascii="Times New Roman" w:hAnsi="Times New Roman" w:cs="Times New Roman"/>
          <w:lang w:val="en-US"/>
        </w:rPr>
        <w:t>Kompa</w:t>
      </w:r>
      <w:proofErr w:type="spellEnd"/>
      <w:r w:rsidRPr="00CD336E">
        <w:rPr>
          <w:rFonts w:ascii="Times New Roman" w:hAnsi="Times New Roman" w:cs="Times New Roman"/>
          <w:lang w:val="en-US"/>
        </w:rPr>
        <w:t xml:space="preserve"> K.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67EB5"/>
    <w:multiLevelType w:val="hybridMultilevel"/>
    <w:tmpl w:val="D2AA7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37A4319"/>
    <w:multiLevelType w:val="hybridMultilevel"/>
    <w:tmpl w:val="16B0CF3C"/>
    <w:lvl w:ilvl="0" w:tplc="B2E6D72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1"/>
    <w:rsid w:val="00005600"/>
    <w:rsid w:val="00006174"/>
    <w:rsid w:val="00010EE0"/>
    <w:rsid w:val="00013213"/>
    <w:rsid w:val="00022E88"/>
    <w:rsid w:val="000332A5"/>
    <w:rsid w:val="00037E0D"/>
    <w:rsid w:val="000418EA"/>
    <w:rsid w:val="000427D3"/>
    <w:rsid w:val="000478D7"/>
    <w:rsid w:val="000507AF"/>
    <w:rsid w:val="0005119B"/>
    <w:rsid w:val="00052A42"/>
    <w:rsid w:val="00052F02"/>
    <w:rsid w:val="00061A84"/>
    <w:rsid w:val="00066BBB"/>
    <w:rsid w:val="00070D31"/>
    <w:rsid w:val="000721E3"/>
    <w:rsid w:val="0007441A"/>
    <w:rsid w:val="0007722E"/>
    <w:rsid w:val="00083C5B"/>
    <w:rsid w:val="00090AA3"/>
    <w:rsid w:val="0009126C"/>
    <w:rsid w:val="00092B26"/>
    <w:rsid w:val="00093223"/>
    <w:rsid w:val="00093B2B"/>
    <w:rsid w:val="00094DB2"/>
    <w:rsid w:val="000A7985"/>
    <w:rsid w:val="000B2625"/>
    <w:rsid w:val="000B6E06"/>
    <w:rsid w:val="000C40F4"/>
    <w:rsid w:val="000C5DE3"/>
    <w:rsid w:val="000D0CEA"/>
    <w:rsid w:val="000D5957"/>
    <w:rsid w:val="000D6169"/>
    <w:rsid w:val="000E18C6"/>
    <w:rsid w:val="000E33CE"/>
    <w:rsid w:val="000E407B"/>
    <w:rsid w:val="000E5092"/>
    <w:rsid w:val="000E6E96"/>
    <w:rsid w:val="000E75CA"/>
    <w:rsid w:val="000F19DF"/>
    <w:rsid w:val="00110027"/>
    <w:rsid w:val="00110945"/>
    <w:rsid w:val="001114EF"/>
    <w:rsid w:val="001123B1"/>
    <w:rsid w:val="00122DEA"/>
    <w:rsid w:val="001320E2"/>
    <w:rsid w:val="001349F0"/>
    <w:rsid w:val="00145FAF"/>
    <w:rsid w:val="00154D85"/>
    <w:rsid w:val="001575A8"/>
    <w:rsid w:val="001630DD"/>
    <w:rsid w:val="00163C8B"/>
    <w:rsid w:val="00171395"/>
    <w:rsid w:val="00172B04"/>
    <w:rsid w:val="00172CF7"/>
    <w:rsid w:val="00193840"/>
    <w:rsid w:val="00195485"/>
    <w:rsid w:val="001A3943"/>
    <w:rsid w:val="001A3EFA"/>
    <w:rsid w:val="001A40E2"/>
    <w:rsid w:val="001A4B47"/>
    <w:rsid w:val="001B0324"/>
    <w:rsid w:val="001B1B65"/>
    <w:rsid w:val="001B5065"/>
    <w:rsid w:val="001C6D19"/>
    <w:rsid w:val="001C7AAB"/>
    <w:rsid w:val="001D3310"/>
    <w:rsid w:val="001E7588"/>
    <w:rsid w:val="001E7830"/>
    <w:rsid w:val="001E7890"/>
    <w:rsid w:val="001F0621"/>
    <w:rsid w:val="001F28FD"/>
    <w:rsid w:val="001F6C82"/>
    <w:rsid w:val="00205320"/>
    <w:rsid w:val="002058EC"/>
    <w:rsid w:val="002127BA"/>
    <w:rsid w:val="002156EB"/>
    <w:rsid w:val="002203AF"/>
    <w:rsid w:val="00221BBC"/>
    <w:rsid w:val="0023178A"/>
    <w:rsid w:val="00234907"/>
    <w:rsid w:val="00234C68"/>
    <w:rsid w:val="00234D57"/>
    <w:rsid w:val="002409A9"/>
    <w:rsid w:val="00253E05"/>
    <w:rsid w:val="00254C85"/>
    <w:rsid w:val="00262FB3"/>
    <w:rsid w:val="002662DD"/>
    <w:rsid w:val="002727F3"/>
    <w:rsid w:val="00276E33"/>
    <w:rsid w:val="002836A4"/>
    <w:rsid w:val="002866AF"/>
    <w:rsid w:val="00294702"/>
    <w:rsid w:val="00296F5C"/>
    <w:rsid w:val="002A0CF8"/>
    <w:rsid w:val="002A625E"/>
    <w:rsid w:val="002B2251"/>
    <w:rsid w:val="002B4BCD"/>
    <w:rsid w:val="002D4ACE"/>
    <w:rsid w:val="002D4F25"/>
    <w:rsid w:val="002E46C4"/>
    <w:rsid w:val="002E744F"/>
    <w:rsid w:val="002F223C"/>
    <w:rsid w:val="002F2CBD"/>
    <w:rsid w:val="002F7087"/>
    <w:rsid w:val="002F7D6D"/>
    <w:rsid w:val="003020F3"/>
    <w:rsid w:val="00306849"/>
    <w:rsid w:val="00306AA3"/>
    <w:rsid w:val="00310C60"/>
    <w:rsid w:val="00311042"/>
    <w:rsid w:val="0031586A"/>
    <w:rsid w:val="00326FDC"/>
    <w:rsid w:val="00331CBC"/>
    <w:rsid w:val="00344D06"/>
    <w:rsid w:val="00352120"/>
    <w:rsid w:val="00352734"/>
    <w:rsid w:val="0035681F"/>
    <w:rsid w:val="003757DC"/>
    <w:rsid w:val="00382E1D"/>
    <w:rsid w:val="00384CD5"/>
    <w:rsid w:val="0038598F"/>
    <w:rsid w:val="003B17C1"/>
    <w:rsid w:val="003C145A"/>
    <w:rsid w:val="003C47A1"/>
    <w:rsid w:val="003D0D98"/>
    <w:rsid w:val="003D183F"/>
    <w:rsid w:val="003D4BB2"/>
    <w:rsid w:val="003E1FEA"/>
    <w:rsid w:val="003E21B9"/>
    <w:rsid w:val="003F7BD3"/>
    <w:rsid w:val="00412746"/>
    <w:rsid w:val="00426CCA"/>
    <w:rsid w:val="004270E0"/>
    <w:rsid w:val="0043086D"/>
    <w:rsid w:val="00433A64"/>
    <w:rsid w:val="00457060"/>
    <w:rsid w:val="0046609B"/>
    <w:rsid w:val="0046771A"/>
    <w:rsid w:val="00470406"/>
    <w:rsid w:val="00470885"/>
    <w:rsid w:val="00470EEF"/>
    <w:rsid w:val="004722E8"/>
    <w:rsid w:val="004771EA"/>
    <w:rsid w:val="00481719"/>
    <w:rsid w:val="004820B5"/>
    <w:rsid w:val="00487FC6"/>
    <w:rsid w:val="004942C2"/>
    <w:rsid w:val="004944EC"/>
    <w:rsid w:val="004948C3"/>
    <w:rsid w:val="004974BF"/>
    <w:rsid w:val="004978D5"/>
    <w:rsid w:val="004A0D78"/>
    <w:rsid w:val="004A2FEB"/>
    <w:rsid w:val="004A600A"/>
    <w:rsid w:val="004A7B07"/>
    <w:rsid w:val="004B3D79"/>
    <w:rsid w:val="004B4358"/>
    <w:rsid w:val="004B59D8"/>
    <w:rsid w:val="004C06CB"/>
    <w:rsid w:val="004C565B"/>
    <w:rsid w:val="004D2238"/>
    <w:rsid w:val="004D226B"/>
    <w:rsid w:val="004D3C55"/>
    <w:rsid w:val="004E0107"/>
    <w:rsid w:val="004E0F0E"/>
    <w:rsid w:val="004E537A"/>
    <w:rsid w:val="004E67EF"/>
    <w:rsid w:val="004F0E37"/>
    <w:rsid w:val="004F256E"/>
    <w:rsid w:val="004F66E3"/>
    <w:rsid w:val="004F7DAA"/>
    <w:rsid w:val="00501555"/>
    <w:rsid w:val="00503061"/>
    <w:rsid w:val="0050393B"/>
    <w:rsid w:val="00512D5E"/>
    <w:rsid w:val="00516232"/>
    <w:rsid w:val="0052114B"/>
    <w:rsid w:val="005261F2"/>
    <w:rsid w:val="005267E3"/>
    <w:rsid w:val="005271FF"/>
    <w:rsid w:val="005308D6"/>
    <w:rsid w:val="005321E0"/>
    <w:rsid w:val="005342F3"/>
    <w:rsid w:val="005351EA"/>
    <w:rsid w:val="00537BC8"/>
    <w:rsid w:val="00540617"/>
    <w:rsid w:val="005416B2"/>
    <w:rsid w:val="00544AD4"/>
    <w:rsid w:val="00550A84"/>
    <w:rsid w:val="0055426B"/>
    <w:rsid w:val="00556978"/>
    <w:rsid w:val="0056029C"/>
    <w:rsid w:val="00561BE5"/>
    <w:rsid w:val="005647C6"/>
    <w:rsid w:val="00565233"/>
    <w:rsid w:val="00575E17"/>
    <w:rsid w:val="00580263"/>
    <w:rsid w:val="00596460"/>
    <w:rsid w:val="00596C98"/>
    <w:rsid w:val="00596F6F"/>
    <w:rsid w:val="00597578"/>
    <w:rsid w:val="005A2798"/>
    <w:rsid w:val="005A454C"/>
    <w:rsid w:val="005B3838"/>
    <w:rsid w:val="005C3F07"/>
    <w:rsid w:val="005C4802"/>
    <w:rsid w:val="005D07EC"/>
    <w:rsid w:val="005D2A50"/>
    <w:rsid w:val="005D7535"/>
    <w:rsid w:val="005E0B3C"/>
    <w:rsid w:val="005F0120"/>
    <w:rsid w:val="005F19ED"/>
    <w:rsid w:val="00604596"/>
    <w:rsid w:val="00604C3D"/>
    <w:rsid w:val="0061754C"/>
    <w:rsid w:val="00617767"/>
    <w:rsid w:val="00617AFE"/>
    <w:rsid w:val="006239DB"/>
    <w:rsid w:val="0064241A"/>
    <w:rsid w:val="0064721E"/>
    <w:rsid w:val="006500E6"/>
    <w:rsid w:val="006505E2"/>
    <w:rsid w:val="006509D1"/>
    <w:rsid w:val="00655286"/>
    <w:rsid w:val="00660A2E"/>
    <w:rsid w:val="00664525"/>
    <w:rsid w:val="006749C1"/>
    <w:rsid w:val="006765F3"/>
    <w:rsid w:val="00682325"/>
    <w:rsid w:val="00686F52"/>
    <w:rsid w:val="00691806"/>
    <w:rsid w:val="006928B9"/>
    <w:rsid w:val="0069714D"/>
    <w:rsid w:val="006B3747"/>
    <w:rsid w:val="006C63E1"/>
    <w:rsid w:val="006C77D4"/>
    <w:rsid w:val="006D2359"/>
    <w:rsid w:val="006D40DA"/>
    <w:rsid w:val="006D7EC9"/>
    <w:rsid w:val="006F27DF"/>
    <w:rsid w:val="006F61F2"/>
    <w:rsid w:val="006F6D30"/>
    <w:rsid w:val="007004F7"/>
    <w:rsid w:val="00701E70"/>
    <w:rsid w:val="007065B3"/>
    <w:rsid w:val="00710B6F"/>
    <w:rsid w:val="00711E2B"/>
    <w:rsid w:val="007144B6"/>
    <w:rsid w:val="00716CF5"/>
    <w:rsid w:val="00724D5E"/>
    <w:rsid w:val="00725A57"/>
    <w:rsid w:val="00732497"/>
    <w:rsid w:val="0073461C"/>
    <w:rsid w:val="00741B5B"/>
    <w:rsid w:val="007459DC"/>
    <w:rsid w:val="00747B41"/>
    <w:rsid w:val="00753304"/>
    <w:rsid w:val="00763059"/>
    <w:rsid w:val="00763443"/>
    <w:rsid w:val="0077134E"/>
    <w:rsid w:val="007718D5"/>
    <w:rsid w:val="007808BC"/>
    <w:rsid w:val="007823D4"/>
    <w:rsid w:val="007831C9"/>
    <w:rsid w:val="0079059C"/>
    <w:rsid w:val="0079265A"/>
    <w:rsid w:val="00796872"/>
    <w:rsid w:val="007A41EA"/>
    <w:rsid w:val="007C0087"/>
    <w:rsid w:val="007D0A79"/>
    <w:rsid w:val="007D39AF"/>
    <w:rsid w:val="007D48A5"/>
    <w:rsid w:val="007E25AC"/>
    <w:rsid w:val="007E3864"/>
    <w:rsid w:val="007E62DA"/>
    <w:rsid w:val="007F10D7"/>
    <w:rsid w:val="00802CB3"/>
    <w:rsid w:val="00807196"/>
    <w:rsid w:val="00812D9B"/>
    <w:rsid w:val="00812EEA"/>
    <w:rsid w:val="0082380E"/>
    <w:rsid w:val="00824ECA"/>
    <w:rsid w:val="00826972"/>
    <w:rsid w:val="00834F3E"/>
    <w:rsid w:val="00835283"/>
    <w:rsid w:val="008353F0"/>
    <w:rsid w:val="008404B6"/>
    <w:rsid w:val="00860537"/>
    <w:rsid w:val="00861C1D"/>
    <w:rsid w:val="0086488F"/>
    <w:rsid w:val="008709B2"/>
    <w:rsid w:val="00872FA9"/>
    <w:rsid w:val="00875E58"/>
    <w:rsid w:val="008775CB"/>
    <w:rsid w:val="00886A26"/>
    <w:rsid w:val="0089231D"/>
    <w:rsid w:val="00893DDB"/>
    <w:rsid w:val="00894472"/>
    <w:rsid w:val="00894574"/>
    <w:rsid w:val="008A0585"/>
    <w:rsid w:val="008A55EB"/>
    <w:rsid w:val="008A7F34"/>
    <w:rsid w:val="008B2DED"/>
    <w:rsid w:val="008B3361"/>
    <w:rsid w:val="008C440C"/>
    <w:rsid w:val="008C4FFB"/>
    <w:rsid w:val="008E1D61"/>
    <w:rsid w:val="008E212C"/>
    <w:rsid w:val="008E6F80"/>
    <w:rsid w:val="008E7BBE"/>
    <w:rsid w:val="008F1613"/>
    <w:rsid w:val="008F3D52"/>
    <w:rsid w:val="00925484"/>
    <w:rsid w:val="0093136E"/>
    <w:rsid w:val="0095124F"/>
    <w:rsid w:val="00952DD7"/>
    <w:rsid w:val="00952E24"/>
    <w:rsid w:val="00954180"/>
    <w:rsid w:val="00955ACB"/>
    <w:rsid w:val="009608E1"/>
    <w:rsid w:val="009608F2"/>
    <w:rsid w:val="00961CE2"/>
    <w:rsid w:val="009620B8"/>
    <w:rsid w:val="00971B8E"/>
    <w:rsid w:val="00971CF3"/>
    <w:rsid w:val="00976035"/>
    <w:rsid w:val="0097639E"/>
    <w:rsid w:val="009778DD"/>
    <w:rsid w:val="0098464C"/>
    <w:rsid w:val="009A0DC7"/>
    <w:rsid w:val="009C0030"/>
    <w:rsid w:val="009C1633"/>
    <w:rsid w:val="009C5336"/>
    <w:rsid w:val="009D1F5A"/>
    <w:rsid w:val="009D341B"/>
    <w:rsid w:val="009D3CA4"/>
    <w:rsid w:val="009D5C89"/>
    <w:rsid w:val="009E2DE8"/>
    <w:rsid w:val="009E6180"/>
    <w:rsid w:val="009E7DFB"/>
    <w:rsid w:val="009F057A"/>
    <w:rsid w:val="009F3D10"/>
    <w:rsid w:val="00A01E20"/>
    <w:rsid w:val="00A066BE"/>
    <w:rsid w:val="00A07691"/>
    <w:rsid w:val="00A305D6"/>
    <w:rsid w:val="00A31C08"/>
    <w:rsid w:val="00A35CE4"/>
    <w:rsid w:val="00A362C2"/>
    <w:rsid w:val="00A377F0"/>
    <w:rsid w:val="00A50C74"/>
    <w:rsid w:val="00A53A2C"/>
    <w:rsid w:val="00A54992"/>
    <w:rsid w:val="00A61CF0"/>
    <w:rsid w:val="00A66119"/>
    <w:rsid w:val="00A76223"/>
    <w:rsid w:val="00A86672"/>
    <w:rsid w:val="00A87512"/>
    <w:rsid w:val="00A96026"/>
    <w:rsid w:val="00AA1DF9"/>
    <w:rsid w:val="00AA28B5"/>
    <w:rsid w:val="00AA51A1"/>
    <w:rsid w:val="00AA71B8"/>
    <w:rsid w:val="00AB4773"/>
    <w:rsid w:val="00AB6763"/>
    <w:rsid w:val="00AB7019"/>
    <w:rsid w:val="00AC30A3"/>
    <w:rsid w:val="00AC5402"/>
    <w:rsid w:val="00AC6267"/>
    <w:rsid w:val="00AC6FF8"/>
    <w:rsid w:val="00AD3BFE"/>
    <w:rsid w:val="00AD6303"/>
    <w:rsid w:val="00AD6FF2"/>
    <w:rsid w:val="00AE5937"/>
    <w:rsid w:val="00AE61C3"/>
    <w:rsid w:val="00AF22A4"/>
    <w:rsid w:val="00AF4ECE"/>
    <w:rsid w:val="00B018F9"/>
    <w:rsid w:val="00B05000"/>
    <w:rsid w:val="00B1424B"/>
    <w:rsid w:val="00B15555"/>
    <w:rsid w:val="00B1599F"/>
    <w:rsid w:val="00B23B86"/>
    <w:rsid w:val="00B24BFA"/>
    <w:rsid w:val="00B30FE4"/>
    <w:rsid w:val="00B31625"/>
    <w:rsid w:val="00B532C4"/>
    <w:rsid w:val="00B609E3"/>
    <w:rsid w:val="00B62944"/>
    <w:rsid w:val="00B6479F"/>
    <w:rsid w:val="00B70F78"/>
    <w:rsid w:val="00B76FF1"/>
    <w:rsid w:val="00B80AA4"/>
    <w:rsid w:val="00B87E02"/>
    <w:rsid w:val="00B92A60"/>
    <w:rsid w:val="00B9389E"/>
    <w:rsid w:val="00B949B9"/>
    <w:rsid w:val="00BA4DE3"/>
    <w:rsid w:val="00BA5A6D"/>
    <w:rsid w:val="00BA732C"/>
    <w:rsid w:val="00BB0ED5"/>
    <w:rsid w:val="00BC2274"/>
    <w:rsid w:val="00BC5A7F"/>
    <w:rsid w:val="00BD6C84"/>
    <w:rsid w:val="00BD7830"/>
    <w:rsid w:val="00BE3CE2"/>
    <w:rsid w:val="00BF18CC"/>
    <w:rsid w:val="00C02B63"/>
    <w:rsid w:val="00C21474"/>
    <w:rsid w:val="00C23502"/>
    <w:rsid w:val="00C2622F"/>
    <w:rsid w:val="00C2744A"/>
    <w:rsid w:val="00C2783A"/>
    <w:rsid w:val="00C32000"/>
    <w:rsid w:val="00C35E44"/>
    <w:rsid w:val="00C43E7E"/>
    <w:rsid w:val="00C456F3"/>
    <w:rsid w:val="00C4592B"/>
    <w:rsid w:val="00C47ABA"/>
    <w:rsid w:val="00C50A2D"/>
    <w:rsid w:val="00C55FB6"/>
    <w:rsid w:val="00C614E3"/>
    <w:rsid w:val="00C65852"/>
    <w:rsid w:val="00C75959"/>
    <w:rsid w:val="00C77379"/>
    <w:rsid w:val="00C86166"/>
    <w:rsid w:val="00CA662A"/>
    <w:rsid w:val="00CB1CF0"/>
    <w:rsid w:val="00CB34A0"/>
    <w:rsid w:val="00CC4C32"/>
    <w:rsid w:val="00CC4FFA"/>
    <w:rsid w:val="00CC732E"/>
    <w:rsid w:val="00CD336E"/>
    <w:rsid w:val="00CD738E"/>
    <w:rsid w:val="00CE239D"/>
    <w:rsid w:val="00CE43FC"/>
    <w:rsid w:val="00CE5DB5"/>
    <w:rsid w:val="00D055F4"/>
    <w:rsid w:val="00D07571"/>
    <w:rsid w:val="00D105D4"/>
    <w:rsid w:val="00D16895"/>
    <w:rsid w:val="00D236F7"/>
    <w:rsid w:val="00D27FFC"/>
    <w:rsid w:val="00D509F0"/>
    <w:rsid w:val="00D51F91"/>
    <w:rsid w:val="00D6002F"/>
    <w:rsid w:val="00D67D6B"/>
    <w:rsid w:val="00D70942"/>
    <w:rsid w:val="00D7290E"/>
    <w:rsid w:val="00D731FA"/>
    <w:rsid w:val="00D76FC5"/>
    <w:rsid w:val="00D771F9"/>
    <w:rsid w:val="00D811B1"/>
    <w:rsid w:val="00D83E3A"/>
    <w:rsid w:val="00DA141F"/>
    <w:rsid w:val="00DA4347"/>
    <w:rsid w:val="00DA444A"/>
    <w:rsid w:val="00DB48D2"/>
    <w:rsid w:val="00DC238A"/>
    <w:rsid w:val="00DC5205"/>
    <w:rsid w:val="00DD2FC1"/>
    <w:rsid w:val="00DD3151"/>
    <w:rsid w:val="00DD37EE"/>
    <w:rsid w:val="00DD4714"/>
    <w:rsid w:val="00DD5792"/>
    <w:rsid w:val="00DD6465"/>
    <w:rsid w:val="00DE10B9"/>
    <w:rsid w:val="00DE4E06"/>
    <w:rsid w:val="00DF4B6A"/>
    <w:rsid w:val="00E043A8"/>
    <w:rsid w:val="00E05FFC"/>
    <w:rsid w:val="00E06E43"/>
    <w:rsid w:val="00E072F8"/>
    <w:rsid w:val="00E10252"/>
    <w:rsid w:val="00E17F26"/>
    <w:rsid w:val="00E22CE1"/>
    <w:rsid w:val="00E2425E"/>
    <w:rsid w:val="00E44C55"/>
    <w:rsid w:val="00E44D3A"/>
    <w:rsid w:val="00E50366"/>
    <w:rsid w:val="00E51C3B"/>
    <w:rsid w:val="00E577DE"/>
    <w:rsid w:val="00E615AE"/>
    <w:rsid w:val="00E61979"/>
    <w:rsid w:val="00E65A58"/>
    <w:rsid w:val="00E76BCF"/>
    <w:rsid w:val="00E76C1A"/>
    <w:rsid w:val="00E96241"/>
    <w:rsid w:val="00EB4C97"/>
    <w:rsid w:val="00EB6BC4"/>
    <w:rsid w:val="00EB6ED0"/>
    <w:rsid w:val="00EC1DE2"/>
    <w:rsid w:val="00ED4F33"/>
    <w:rsid w:val="00ED6BF7"/>
    <w:rsid w:val="00EE4E22"/>
    <w:rsid w:val="00EF2F7D"/>
    <w:rsid w:val="00EF4327"/>
    <w:rsid w:val="00EF6F16"/>
    <w:rsid w:val="00F0130C"/>
    <w:rsid w:val="00F031A2"/>
    <w:rsid w:val="00F042D4"/>
    <w:rsid w:val="00F1037B"/>
    <w:rsid w:val="00F11762"/>
    <w:rsid w:val="00F133BF"/>
    <w:rsid w:val="00F15C61"/>
    <w:rsid w:val="00F22623"/>
    <w:rsid w:val="00F2270C"/>
    <w:rsid w:val="00F413DD"/>
    <w:rsid w:val="00F45A39"/>
    <w:rsid w:val="00F471ED"/>
    <w:rsid w:val="00F514E9"/>
    <w:rsid w:val="00F61C21"/>
    <w:rsid w:val="00F62C9E"/>
    <w:rsid w:val="00F70577"/>
    <w:rsid w:val="00F70A8B"/>
    <w:rsid w:val="00F70B7A"/>
    <w:rsid w:val="00F711B0"/>
    <w:rsid w:val="00F81531"/>
    <w:rsid w:val="00F844AF"/>
    <w:rsid w:val="00F85C26"/>
    <w:rsid w:val="00F868A7"/>
    <w:rsid w:val="00F94C45"/>
    <w:rsid w:val="00FA6105"/>
    <w:rsid w:val="00FA7902"/>
    <w:rsid w:val="00FB34DA"/>
    <w:rsid w:val="00FC1CE8"/>
    <w:rsid w:val="00FC4B8F"/>
    <w:rsid w:val="00FD1397"/>
    <w:rsid w:val="00FD1907"/>
    <w:rsid w:val="00FD59B3"/>
    <w:rsid w:val="00FF139D"/>
    <w:rsid w:val="00FF20E5"/>
    <w:rsid w:val="00FF3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36F7"/>
  <w15:docId w15:val="{2B79E348-60F1-412F-A344-DF92AFF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71B8"/>
    <w:pPr>
      <w:ind w:left="720"/>
      <w:contextualSpacing/>
    </w:pPr>
  </w:style>
  <w:style w:type="paragraph" w:styleId="Nagwek">
    <w:name w:val="header"/>
    <w:basedOn w:val="Normalny"/>
    <w:link w:val="NagwekZnak"/>
    <w:uiPriority w:val="99"/>
    <w:unhideWhenUsed/>
    <w:rsid w:val="006175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754C"/>
  </w:style>
  <w:style w:type="paragraph" w:styleId="Stopka">
    <w:name w:val="footer"/>
    <w:basedOn w:val="Normalny"/>
    <w:link w:val="StopkaZnak"/>
    <w:uiPriority w:val="99"/>
    <w:unhideWhenUsed/>
    <w:rsid w:val="006175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754C"/>
  </w:style>
  <w:style w:type="paragraph" w:styleId="Tekstdymka">
    <w:name w:val="Balloon Text"/>
    <w:basedOn w:val="Normalny"/>
    <w:link w:val="TekstdymkaZnak"/>
    <w:uiPriority w:val="99"/>
    <w:semiHidden/>
    <w:unhideWhenUsed/>
    <w:rsid w:val="000E50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5092"/>
    <w:rPr>
      <w:rFonts w:ascii="Tahoma" w:hAnsi="Tahoma" w:cs="Tahoma"/>
      <w:sz w:val="16"/>
      <w:szCs w:val="16"/>
    </w:rPr>
  </w:style>
  <w:style w:type="paragraph" w:styleId="Legenda">
    <w:name w:val="caption"/>
    <w:basedOn w:val="Normalny"/>
    <w:next w:val="Normalny"/>
    <w:uiPriority w:val="35"/>
    <w:unhideWhenUsed/>
    <w:qFormat/>
    <w:rsid w:val="000E5092"/>
    <w:pPr>
      <w:spacing w:after="200" w:line="240" w:lineRule="auto"/>
    </w:pPr>
    <w:rPr>
      <w:b/>
      <w:bCs/>
      <w:color w:val="5B9BD5" w:themeColor="accent1"/>
      <w:sz w:val="18"/>
      <w:szCs w:val="18"/>
    </w:rPr>
  </w:style>
  <w:style w:type="paragraph" w:styleId="Tekstprzypisudolnego">
    <w:name w:val="footnote text"/>
    <w:basedOn w:val="Normalny"/>
    <w:link w:val="TekstprzypisudolnegoZnak"/>
    <w:uiPriority w:val="99"/>
    <w:semiHidden/>
    <w:unhideWhenUsed/>
    <w:rsid w:val="00F413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13DD"/>
    <w:rPr>
      <w:sz w:val="20"/>
      <w:szCs w:val="20"/>
    </w:rPr>
  </w:style>
  <w:style w:type="character" w:styleId="Odwoanieprzypisudolnego">
    <w:name w:val="footnote reference"/>
    <w:basedOn w:val="Domylnaczcionkaakapitu"/>
    <w:uiPriority w:val="99"/>
    <w:semiHidden/>
    <w:unhideWhenUsed/>
    <w:rsid w:val="00F413DD"/>
    <w:rPr>
      <w:vertAlign w:val="superscript"/>
    </w:rPr>
  </w:style>
  <w:style w:type="character" w:styleId="Tekstzastpczy">
    <w:name w:val="Placeholder Text"/>
    <w:basedOn w:val="Domylnaczcionkaakapitu"/>
    <w:uiPriority w:val="99"/>
    <w:semiHidden/>
    <w:rsid w:val="00B24BFA"/>
    <w:rPr>
      <w:color w:val="808080"/>
    </w:rPr>
  </w:style>
  <w:style w:type="character" w:styleId="Odwoaniedokomentarza">
    <w:name w:val="annotation reference"/>
    <w:basedOn w:val="Domylnaczcionkaakapitu"/>
    <w:uiPriority w:val="99"/>
    <w:semiHidden/>
    <w:unhideWhenUsed/>
    <w:rsid w:val="003020F3"/>
    <w:rPr>
      <w:sz w:val="16"/>
      <w:szCs w:val="16"/>
    </w:rPr>
  </w:style>
  <w:style w:type="paragraph" w:styleId="Tekstkomentarza">
    <w:name w:val="annotation text"/>
    <w:basedOn w:val="Normalny"/>
    <w:link w:val="TekstkomentarzaZnak"/>
    <w:uiPriority w:val="99"/>
    <w:semiHidden/>
    <w:unhideWhenUsed/>
    <w:rsid w:val="003020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20F3"/>
    <w:rPr>
      <w:sz w:val="20"/>
      <w:szCs w:val="20"/>
    </w:rPr>
  </w:style>
  <w:style w:type="paragraph" w:styleId="Tematkomentarza">
    <w:name w:val="annotation subject"/>
    <w:basedOn w:val="Tekstkomentarza"/>
    <w:next w:val="Tekstkomentarza"/>
    <w:link w:val="TematkomentarzaZnak"/>
    <w:uiPriority w:val="99"/>
    <w:semiHidden/>
    <w:unhideWhenUsed/>
    <w:rsid w:val="003020F3"/>
    <w:rPr>
      <w:b/>
      <w:bCs/>
    </w:rPr>
  </w:style>
  <w:style w:type="character" w:customStyle="1" w:styleId="TematkomentarzaZnak">
    <w:name w:val="Temat komentarza Znak"/>
    <w:basedOn w:val="TekstkomentarzaZnak"/>
    <w:link w:val="Tematkomentarza"/>
    <w:uiPriority w:val="99"/>
    <w:semiHidden/>
    <w:rsid w:val="003020F3"/>
    <w:rPr>
      <w:b/>
      <w:bCs/>
      <w:sz w:val="20"/>
      <w:szCs w:val="20"/>
    </w:rPr>
  </w:style>
  <w:style w:type="table" w:styleId="Tabela-Siatka">
    <w:name w:val="Table Grid"/>
    <w:basedOn w:val="Standardowy"/>
    <w:uiPriority w:val="39"/>
    <w:rsid w:val="00DD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27F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7FFC"/>
    <w:rPr>
      <w:sz w:val="20"/>
      <w:szCs w:val="20"/>
    </w:rPr>
  </w:style>
  <w:style w:type="character" w:styleId="Odwoanieprzypisukocowego">
    <w:name w:val="endnote reference"/>
    <w:basedOn w:val="Domylnaczcionkaakapitu"/>
    <w:uiPriority w:val="99"/>
    <w:semiHidden/>
    <w:unhideWhenUsed/>
    <w:rsid w:val="00D27F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0767">
      <w:bodyDiv w:val="1"/>
      <w:marLeft w:val="0"/>
      <w:marRight w:val="0"/>
      <w:marTop w:val="0"/>
      <w:marBottom w:val="0"/>
      <w:divBdr>
        <w:top w:val="none" w:sz="0" w:space="0" w:color="auto"/>
        <w:left w:val="none" w:sz="0" w:space="0" w:color="auto"/>
        <w:bottom w:val="none" w:sz="0" w:space="0" w:color="auto"/>
        <w:right w:val="none" w:sz="0" w:space="0" w:color="auto"/>
      </w:divBdr>
    </w:div>
    <w:div w:id="917981719">
      <w:bodyDiv w:val="1"/>
      <w:marLeft w:val="0"/>
      <w:marRight w:val="0"/>
      <w:marTop w:val="0"/>
      <w:marBottom w:val="0"/>
      <w:divBdr>
        <w:top w:val="none" w:sz="0" w:space="0" w:color="auto"/>
        <w:left w:val="none" w:sz="0" w:space="0" w:color="auto"/>
        <w:bottom w:val="none" w:sz="0" w:space="0" w:color="auto"/>
        <w:right w:val="none" w:sz="0" w:space="0" w:color="auto"/>
      </w:divBdr>
    </w:div>
    <w:div w:id="938180094">
      <w:bodyDiv w:val="1"/>
      <w:marLeft w:val="0"/>
      <w:marRight w:val="0"/>
      <w:marTop w:val="0"/>
      <w:marBottom w:val="0"/>
      <w:divBdr>
        <w:top w:val="none" w:sz="0" w:space="0" w:color="auto"/>
        <w:left w:val="none" w:sz="0" w:space="0" w:color="auto"/>
        <w:bottom w:val="none" w:sz="0" w:space="0" w:color="auto"/>
        <w:right w:val="none" w:sz="0" w:space="0" w:color="auto"/>
      </w:divBdr>
    </w:div>
    <w:div w:id="941181738">
      <w:bodyDiv w:val="1"/>
      <w:marLeft w:val="0"/>
      <w:marRight w:val="0"/>
      <w:marTop w:val="0"/>
      <w:marBottom w:val="0"/>
      <w:divBdr>
        <w:top w:val="none" w:sz="0" w:space="0" w:color="auto"/>
        <w:left w:val="none" w:sz="0" w:space="0" w:color="auto"/>
        <w:bottom w:val="none" w:sz="0" w:space="0" w:color="auto"/>
        <w:right w:val="none" w:sz="0" w:space="0" w:color="auto"/>
      </w:divBdr>
    </w:div>
    <w:div w:id="1011026589">
      <w:bodyDiv w:val="1"/>
      <w:marLeft w:val="0"/>
      <w:marRight w:val="0"/>
      <w:marTop w:val="0"/>
      <w:marBottom w:val="0"/>
      <w:divBdr>
        <w:top w:val="none" w:sz="0" w:space="0" w:color="auto"/>
        <w:left w:val="none" w:sz="0" w:space="0" w:color="auto"/>
        <w:bottom w:val="none" w:sz="0" w:space="0" w:color="auto"/>
        <w:right w:val="none" w:sz="0" w:space="0" w:color="auto"/>
      </w:divBdr>
    </w:div>
    <w:div w:id="1016467260">
      <w:bodyDiv w:val="1"/>
      <w:marLeft w:val="0"/>
      <w:marRight w:val="0"/>
      <w:marTop w:val="0"/>
      <w:marBottom w:val="0"/>
      <w:divBdr>
        <w:top w:val="none" w:sz="0" w:space="0" w:color="auto"/>
        <w:left w:val="none" w:sz="0" w:space="0" w:color="auto"/>
        <w:bottom w:val="none" w:sz="0" w:space="0" w:color="auto"/>
        <w:right w:val="none" w:sz="0" w:space="0" w:color="auto"/>
      </w:divBdr>
    </w:div>
    <w:div w:id="1301380686">
      <w:bodyDiv w:val="1"/>
      <w:marLeft w:val="0"/>
      <w:marRight w:val="0"/>
      <w:marTop w:val="0"/>
      <w:marBottom w:val="0"/>
      <w:divBdr>
        <w:top w:val="none" w:sz="0" w:space="0" w:color="auto"/>
        <w:left w:val="none" w:sz="0" w:space="0" w:color="auto"/>
        <w:bottom w:val="none" w:sz="0" w:space="0" w:color="auto"/>
        <w:right w:val="none" w:sz="0" w:space="0" w:color="auto"/>
      </w:divBdr>
    </w:div>
    <w:div w:id="1685285729">
      <w:bodyDiv w:val="1"/>
      <w:marLeft w:val="0"/>
      <w:marRight w:val="0"/>
      <w:marTop w:val="0"/>
      <w:marBottom w:val="0"/>
      <w:divBdr>
        <w:top w:val="none" w:sz="0" w:space="0" w:color="auto"/>
        <w:left w:val="none" w:sz="0" w:space="0" w:color="auto"/>
        <w:bottom w:val="none" w:sz="0" w:space="0" w:color="auto"/>
        <w:right w:val="none" w:sz="0" w:space="0" w:color="auto"/>
      </w:divBdr>
    </w:div>
    <w:div w:id="17127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B226-6BC7-854B-B234-199C25CA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4416</Words>
  <Characters>28709</Characters>
  <Application>Microsoft Macintosh Word</Application>
  <DocSecurity>0</DocSecurity>
  <Lines>755</Lines>
  <Paragraphs>424</Paragraphs>
  <ScaleCrop>false</ScaleCrop>
  <HeadingPairs>
    <vt:vector size="2" baseType="variant">
      <vt:variant>
        <vt:lpstr>Tytuł</vt:lpstr>
      </vt:variant>
      <vt:variant>
        <vt:i4>1</vt:i4>
      </vt:variant>
    </vt:vector>
  </HeadingPairs>
  <TitlesOfParts>
    <vt:vector size="1" baseType="lpstr">
      <vt:lpstr/>
    </vt:vector>
  </TitlesOfParts>
  <Company>diakov.net</Company>
  <LinksUpToDate>false</LinksUpToDate>
  <CharactersWithSpaces>32701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Wieslaw</dc:creator>
  <cp:lastModifiedBy>Dorota WITKOWSKA</cp:lastModifiedBy>
  <cp:revision>2</cp:revision>
  <cp:lastPrinted>2015-12-28T14:51:00Z</cp:lastPrinted>
  <dcterms:created xsi:type="dcterms:W3CDTF">2016-03-07T16:51:00Z</dcterms:created>
  <dcterms:modified xsi:type="dcterms:W3CDTF">2016-03-07T16:51:00Z</dcterms:modified>
</cp:coreProperties>
</file>